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418" w:rsidRPr="00015418" w:rsidRDefault="00015418" w:rsidP="0001541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15418">
        <w:rPr>
          <w:rFonts w:ascii="Times New Roman" w:eastAsia="Times New Roman" w:hAnsi="Times New Roman" w:cs="Times New Roman"/>
          <w:b/>
          <w:bCs/>
          <w:kern w:val="36"/>
          <w:sz w:val="48"/>
          <w:szCs w:val="48"/>
          <w:lang w:eastAsia="ru-RU"/>
        </w:rPr>
        <w:t>Відомості про самооцінювання</w:t>
      </w:r>
    </w:p>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Загальні відомості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6"/>
        <w:gridCol w:w="10404"/>
      </w:tblGrid>
      <w:tr w:rsidR="00015418" w:rsidRPr="00015418" w:rsidTr="00015418">
        <w:trPr>
          <w:tblCellSpacing w:w="15" w:type="dxa"/>
        </w:trPr>
        <w:tc>
          <w:tcPr>
            <w:tcW w:w="0" w:type="auto"/>
            <w:shd w:val="clear" w:color="auto" w:fill="F7F7F7"/>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Реєстраційний номер ЗВО у ЄДЕБО</w:t>
            </w:r>
          </w:p>
        </w:tc>
        <w:tc>
          <w:tcPr>
            <w:tcW w:w="0" w:type="auto"/>
            <w:shd w:val="clear" w:color="auto" w:fill="F7F7F7"/>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48</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Повна назва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Херсонський державний університет</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Ідентифікаційний код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02125609</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ПІБ керівника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Співаковський Олександр Володимирович</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Посилання на офіційний веб-сайт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www.ksu.ks.ua</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Реєстраційний номер ВСП ЗВО у ЄДЕБО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shd w:val="clear" w:color="auto" w:fill="F7F7F7"/>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ID освітньої програми в ЄДЕБО</w:t>
            </w:r>
          </w:p>
        </w:tc>
        <w:tc>
          <w:tcPr>
            <w:tcW w:w="0" w:type="auto"/>
            <w:shd w:val="clear" w:color="auto" w:fill="F7F7F7"/>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2482</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Назва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Біологія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Реквізити рішення про ліцензування спеціальності на відповідному рівні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наказ Міністерства освіти і науки України від 01.12.2016 № 1503 л</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Цикл (рівень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Магістр</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Галузь знань, спеціальність</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09 Біологія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Спеціалізація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091 Біологія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Структурний підрозділ, що забезпечує реалізацію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Факультет біології, географії і екології, кафедра ботаніки</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Професійна кваліфікація, яка присвоюється за ОП (за наявності)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Біолог. Викладач закладу освіти (біологія)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Мова (мови) викладання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Українська</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ПІБ та посада гаранта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Мельник Руслана Петрівна, доцент кафедри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Загальні відомості про ОП, історію її розроблення та впровадження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Освітня програма Біологія рівня вищої освіти Магістр розроблена та зкоректована відповідно до чинного законодавства України (Законом України «Про вищу освіту» від 01.07.2014 № 1556-VII в редакції від 28.09.2017, Національна рамка кваліфікації тощо) та нормативних документів Херсонського державного університету (№ 881-Д Положення про організацію освітнього процесу у </w:t>
            </w:r>
            <w:r w:rsidRPr="00015418">
              <w:rPr>
                <w:rFonts w:ascii="Times New Roman" w:eastAsia="Times New Roman" w:hAnsi="Times New Roman" w:cs="Times New Roman"/>
                <w:sz w:val="24"/>
                <w:szCs w:val="24"/>
                <w:lang w:eastAsia="ru-RU"/>
              </w:rPr>
              <w:lastRenderedPageBreak/>
              <w:t>ХДУ, № 880-Д Положення про кваліфікаційну роботу (проєкт), № 878-Д Положення про порядок створення та організацію роботи екзаменаційної комісії з атестації здобувачів вищої освіти в ХДУ тощо). Підготовка фахівців за ОП Біологія розрахована на 1 рік та 4 місяці. Загальний обсяг ОП складає 90 кредитів, в тому числі: обов’язкових компонент - 66,5 кредитів, вибірковий компонент – 23,5 кредитів. Програма включає виробничу та переддипломну практики, підсумкову атестацію у вигляді екзамену та підготовку і захист кваліфікаційної роботи. Освітня програма «Біологія» в Херсонському державному університеті пройшла тривалий шлях формування. Він розпочав готувати вчителів-біологів від початку свого заснування. Херсонський державний університет був заснований під час Першої світової війни на базі евакуйованого в Херсон Юр'ївського учительського інституту в листопаді 1917 року. Цікаво, що одним з перших професорів, який викладав біологію студентам був всесвітньо відомий вчений Й.К. Пачоський. Підготовка вчителів-біологів та біологів в Херсонському державному університеті ознаменувалося багатьма важливими віхами. У 1934 р. було засновано ботанічний сад (площею 14 га) як навчально-наукову базу природничо-географічного факультету. У 1972 р. ботанічний сад отримав статус заповідного об’єкту – став парком-пам’ятником садово-паркового мистецтва. У 1945 р. на кафедрі ботаніки започатковано створення гербарію, що нараховує тепер понад 24000 гербарних аркушів. В 1993 р. відкрита аспірантура з спеціальності «ботаніка», а в 1999 р. – «Фізіології людини та тварин», які потім були трансформовані в підготовку докторів філософії з спеціальності Біологія. У 2003 році започатковано видання «Природничий альманах», а у 2005 р. - "Чорноморського ботанічного журналу", які наразі є фаховими. Таким чином, сьогодні ХДУ має потужну базу для підготовки біологів. Нинішня ОП «Біологія» для спеціальності 091 Біологія була започаткована у 2015 р. шляхом розділення спеціальності 6.040102. Біологія* (з правом викладання) на спеціальності 014.05 Середня освіта (біологія) та 091 Біологія. В той же час в межах спеціальності 091 Біологія було ліцензовано ОНП «Ботаніка». За роки існування Херсонський державний університет підготував тисячі фахівців біологів та вчителів біології. Підготовка біологів в ХДУ пов’язана з іменами таких видатних вчених як Й.К. Пачоський, Ю.М. Прокудін, П.Є. Сосін, Г.М. Паламар-Мордвинцева, Потапенко, Р.О. Лукацький тощо.</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*Освітня програма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4" w:tgtFrame="_blank" w:history="1">
              <w:r w:rsidRPr="00015418">
                <w:rPr>
                  <w:rFonts w:ascii="Times New Roman" w:eastAsia="Times New Roman" w:hAnsi="Times New Roman" w:cs="Times New Roman"/>
                  <w:color w:val="0000FF"/>
                  <w:sz w:val="24"/>
                  <w:szCs w:val="24"/>
                  <w:u w:val="single"/>
                  <w:lang w:eastAsia="ru-RU"/>
                </w:rPr>
                <w:t>ОПП 091 Біологія МАГІСТР 2018 (1).pdf</w:t>
              </w:r>
            </w:hyperlink>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*Навчальний план за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5" w:tgtFrame="_blank" w:history="1">
              <w:r w:rsidRPr="00015418">
                <w:rPr>
                  <w:rFonts w:ascii="Times New Roman" w:eastAsia="Times New Roman" w:hAnsi="Times New Roman" w:cs="Times New Roman"/>
                  <w:color w:val="0000FF"/>
                  <w:sz w:val="24"/>
                  <w:szCs w:val="24"/>
                  <w:u w:val="single"/>
                  <w:lang w:eastAsia="ru-RU"/>
                </w:rPr>
                <w:t>091 Біологія план маг денна.pdf</w:t>
              </w:r>
            </w:hyperlink>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Рецензії та відгуки роботодавців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6" w:tgtFrame="_blank" w:history="1">
              <w:r w:rsidRPr="00015418">
                <w:rPr>
                  <w:rFonts w:ascii="Times New Roman" w:eastAsia="Times New Roman" w:hAnsi="Times New Roman" w:cs="Times New Roman"/>
                  <w:color w:val="0000FF"/>
                  <w:sz w:val="24"/>
                  <w:szCs w:val="24"/>
                  <w:u w:val="single"/>
                  <w:lang w:eastAsia="ru-RU"/>
                </w:rPr>
                <w:t>091 Біологія МАГ реценз_стейкхолд 1.pdf</w:t>
              </w:r>
            </w:hyperlink>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*Заява на проведення акредитації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7" w:tgtFrame="_blank" w:history="1">
              <w:r w:rsidRPr="00015418">
                <w:rPr>
                  <w:rFonts w:ascii="Times New Roman" w:eastAsia="Times New Roman" w:hAnsi="Times New Roman" w:cs="Times New Roman"/>
                  <w:color w:val="0000FF"/>
                  <w:sz w:val="24"/>
                  <w:szCs w:val="24"/>
                  <w:u w:val="single"/>
                  <w:lang w:eastAsia="ru-RU"/>
                </w:rPr>
                <w:t>091 ФБГЕ маг.pdf.p7s</w:t>
              </w:r>
            </w:hyperlink>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1. Проектування та цілі освітньої програми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0"/>
        <w:gridCol w:w="12020"/>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Якими є цілі ОП? У чому полягають особливості (унікальність) цієї програми?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Програма дає можливість отримання подвійного диплому. Освітня програма узгоджена з міжнародним проектом TempusProject 543681-TEMPUS-1-2013-1-DE-TEMPUS-JPHES Регіональний аспект: в ході теоретичної та практичної підготовки обʼєктами вивчення є рослини, тварини та гриби півдня України. Природоохоронний аспект: На території Херсонської області функціонує 2 біосферні заповідники та 5 національних природних парків. Фахівці ФБГЕ ХДУ брали безпосередню участь у створенні 4 національних природних парків. До створення, функціонування та дослідження заповідних об’єктів залучаються здобувачі спеціальності 091 Біологія. Молекулярно-біологічний аспект: На факультеті діє сучасна міжкафедральна молекулярно-біологічна лабораторія, яка активно використовується в ході підготовки студентів спеціальності 091 Біологія. Подібна лабораторія є лише в кількох ЗВО України. Специфічні напрямки досліджень: на кафедрі ботаніки ХДУ сформована потужна ліхенологічна та бріологічна школа. Фахівці з ліхенології та бріології, доктори наук, практично відсутні в інших ЗВО України. Особливістю програми є надання студентам поглиблених знань в галузі ліхенології та бріології. Науково-дослідний аспект: біологічні кафедри ХДУ є лідерами в науково-дослідній сфері в регіоні, виконавцями міжнародних грантів, держбюджетних та госпдоговірних тем. До їх виконання залучаються студенти, які отримують додаткові компетенції з виконання проектної роботи та поглибленні знання в галузі біології</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із посиланням на конкретні документи ЗВО, що цілі ОП відповідають місії та стратегії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Метою ОП є поглиблена фундаментальна, спеціалізована та практична підготовка магістрів у галузі біології, широке коло теоретичних та експериментальних питань у галузі наук про життя та інших суміжних наук, з метою вивчення та оцінки стану біологічних систем, їх використання, моніторингу й оцінки стану навколишнього середовища з подальшим упровадженням досягнень у господарство та соціальну сферу. http://www.kspu.edu/About/Faculty/Faculty_of_biolog_geograf_ecol/ChairBotany/Osvitno_prof_progr_BOTANY.aspx Цілі ОП чітко відповідають місії та стратегії ХДУ. http://www.kspu.edu/Information/strategy.aspx В Стратегічному плані розвитку ХДУ на 2018-2023 рр. передбачено системне підвищення кваліфікації науково-педагогічних працівників, модернізація освітніх програм, побудова студентоцентрованого освітнього середовища; системне опанування всіма науково-педагогічними працівниками університету методологічних підходів провідних зарубіжних і вітчизняних наукових шкіл, інтенсифікація наукових досліджень відповідно до галузевих пріоритетів, напрацювання технології оприлюднення їх в авторитетних англійськомовних наукових виданнях; забезпечення такої системи міжнародних зв’язків і партнерства, що призведе до покращення позицій ХДУ в загальноукраїнських та міжнародних рейтингах; забезпечення необхідних ресурсів для підтримання належного рівня безпеки, працездатності, навчання, наукової діяльності, фізичного і психоемоційного здоров’я здобувачів вищої освіти та працівників університету</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Опишіть, яким чином інтереси та пропозиції таких груп </w:t>
            </w:r>
            <w:r w:rsidRPr="00015418">
              <w:rPr>
                <w:rFonts w:ascii="Times New Roman" w:eastAsia="Times New Roman" w:hAnsi="Times New Roman" w:cs="Times New Roman"/>
                <w:b/>
                <w:bCs/>
                <w:sz w:val="24"/>
                <w:szCs w:val="24"/>
                <w:lang w:eastAsia="ru-RU"/>
              </w:rPr>
              <w:lastRenderedPageBreak/>
              <w:t>заінтересованих сторін (стейкхолдерів) були враховані під час формулювання цілей та програмних результатів навчання ОП:</w:t>
            </w:r>
          </w:p>
        </w:tc>
        <w:tc>
          <w:tcPr>
            <w:tcW w:w="0" w:type="auto"/>
            <w:vAlign w:val="center"/>
            <w:hideMark/>
          </w:tcPr>
          <w:p w:rsidR="00015418" w:rsidRPr="00015418" w:rsidRDefault="00015418" w:rsidP="00015418">
            <w:pPr>
              <w:spacing w:before="100" w:beforeAutospacing="1" w:after="100" w:afterAutospacing="1"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b/>
                <w:bCs/>
                <w:i/>
                <w:iCs/>
                <w:sz w:val="24"/>
                <w:szCs w:val="24"/>
                <w:lang w:eastAsia="ru-RU"/>
              </w:rPr>
              <w:lastRenderedPageBreak/>
              <w:t>- здобувачі вищої освіти та випускники програми</w:t>
            </w:r>
            <w:r w:rsidRPr="00015418">
              <w:rPr>
                <w:rFonts w:ascii="Times New Roman" w:eastAsia="Times New Roman" w:hAnsi="Times New Roman" w:cs="Times New Roman"/>
                <w:sz w:val="24"/>
                <w:szCs w:val="24"/>
                <w:lang w:eastAsia="ru-RU"/>
              </w:rPr>
              <w:br/>
              <w:t xml:space="preserve">  В ході обговорення ОП на засіданнях вченій раді факультету біології, географії та екології, членами якої є студенти; через проведення для відкритих дверей та днів зустрічі випускників; в ході опитування студентів, які </w:t>
            </w:r>
            <w:r w:rsidRPr="00015418">
              <w:rPr>
                <w:rFonts w:ascii="Times New Roman" w:eastAsia="Times New Roman" w:hAnsi="Times New Roman" w:cs="Times New Roman"/>
                <w:sz w:val="24"/>
                <w:szCs w:val="24"/>
                <w:lang w:eastAsia="ru-RU"/>
              </w:rPr>
              <w:lastRenderedPageBreak/>
              <w:t xml:space="preserve">проводять викладачі по окремих дисциплінах, деканати та кафедри; в ході обговорення важливих тем в групах, що створені в соціальних мережах. Значими для студентів, зокрема, є вміння досконало використовувати інформаційні ресурси для пошуку достовірної і необхідної інформації, а також застосування в майбутньому набутих знань для вирішення конкретних практичних завдань. Цим потребам відповідають такі програмні результати навчання, включені в ОП, як ПРН2, ПРН16. </w:t>
            </w:r>
          </w:p>
          <w:p w:rsidR="00015418" w:rsidRPr="00015418" w:rsidRDefault="00015418" w:rsidP="00015418">
            <w:pPr>
              <w:spacing w:before="100" w:beforeAutospacing="1" w:after="100" w:afterAutospacing="1"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b/>
                <w:bCs/>
                <w:i/>
                <w:iCs/>
                <w:sz w:val="24"/>
                <w:szCs w:val="24"/>
                <w:lang w:eastAsia="ru-RU"/>
              </w:rPr>
              <w:t>- роботодавці</w:t>
            </w:r>
            <w:r w:rsidRPr="00015418">
              <w:rPr>
                <w:rFonts w:ascii="Times New Roman" w:eastAsia="Times New Roman" w:hAnsi="Times New Roman" w:cs="Times New Roman"/>
                <w:sz w:val="24"/>
                <w:szCs w:val="24"/>
                <w:lang w:eastAsia="ru-RU"/>
              </w:rPr>
              <w:br/>
              <w:t xml:space="preserve">  Через запрошення головами ДЕК ключових стейкхолдерів (Головами ДЕК традиційно є працівники організацій, які є місцями працевлаштування студентів); В ході роботи на конференціях, семінарах, робочих нарадах, науково-технічних радах, проведені лекцій, курсів, відкритих занять. На зазначених заходах часто присутні стейкхолдери. В ході дискусії відбувається обговорення оптимізації підготовки фахівців. Під час проходження практики, виконання дипломних робіт студентами спеціальності 091 Біологія на підприємствах стейкхолдерів (студенти проходять практику та часто проводять дослідження для випускних робіт на підприємствах); В ході співпраці з органами державного управління (фахівці університету беруть участь в координаціних радах, радах стратегічного розвитку, нарадах державних органів та органів місцевого самоврядування). Під час обговорення ОП на засіданнях кафедр біологічного профілю, навчально-методичній раді та вченій раді ФБГЕ. Студенти є членами Вченої ради факультету. Стейкхолдери запрошуються на засідання кафедр для обговорення актуальних проблем підготовки фахівців, зокрема, доцільності збереження в наступних редакціях ОП програмного результату ПРН14 (Знати основні вимоги чинного законодавства України щодо використання біологічних ресурсів) (протокол засідання кафедри ботаніки № 3 від 10.10.2019) </w:t>
            </w:r>
          </w:p>
          <w:p w:rsidR="00015418" w:rsidRPr="00015418" w:rsidRDefault="00015418" w:rsidP="00015418">
            <w:pPr>
              <w:spacing w:before="100" w:beforeAutospacing="1" w:after="100" w:afterAutospacing="1"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b/>
                <w:bCs/>
                <w:i/>
                <w:iCs/>
                <w:sz w:val="24"/>
                <w:szCs w:val="24"/>
                <w:lang w:eastAsia="ru-RU"/>
              </w:rPr>
              <w:t xml:space="preserve">- академічна спільнота </w:t>
            </w:r>
            <w:r w:rsidRPr="00015418">
              <w:rPr>
                <w:rFonts w:ascii="Times New Roman" w:eastAsia="Times New Roman" w:hAnsi="Times New Roman" w:cs="Times New Roman"/>
                <w:sz w:val="24"/>
                <w:szCs w:val="24"/>
                <w:lang w:eastAsia="ru-RU"/>
              </w:rPr>
              <w:br/>
              <w:t xml:space="preserve">  Під час участі в конференціях, семінарах, робочих і науково-технічних радах, проведені навчальних занять. На таких заходах присутні члени академічної спільноти з інших установ. В ході дискусії обговорюється оптимізація підготовки фахівців. В ході виконання спільних наукових проектів. Кафедра ботаніки протягом останніх 5 років виконала близько 30 госпдоговірних тем з установами та організаціями - потенційними роботодавцями (Департамент екології Херсонської облдержадміністрації, МОНУ, ТОВ «Нібулон», ТОВ «Укрекоконсалт», Скадовське ЛМГ). При підготовці здобувачів 091 Біологія постійно залучаються провідні фахівці в галузі: Володимир Зав’ялов (Університет Турку, Фінляндія), Браян Кунс та Мац Відгрен (Стокгольмський університет, Швеція), Івона Дембіч та Марія Захватович (Варшавський університет, Польща), Павел Радзіковськкий (Інститут ґрунту та рослинництва в Пулавах, Польща), Андрій Тарєєв (Жорж Август Університет Гьотінген, Німеччина) тощо. Інтересам академічної спільноти напряму відповідають включені в ОПП «Біологія» ПРН6 (Дотримуватись норм академічної доброчесності в навчальній та науковій діяльності з метою забезпечення довіри до результатів </w:t>
            </w:r>
            <w:r w:rsidRPr="00015418">
              <w:rPr>
                <w:rFonts w:ascii="Times New Roman" w:eastAsia="Times New Roman" w:hAnsi="Times New Roman" w:cs="Times New Roman"/>
                <w:sz w:val="24"/>
                <w:szCs w:val="24"/>
                <w:lang w:eastAsia="ru-RU"/>
              </w:rPr>
              <w:lastRenderedPageBreak/>
              <w:t>наукової роботи, знати основні правові категорії та особливості використання результатів інтелектуальної діяльності).</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яким чином цілі та програмні результати навчання ОП відбивають тенденції розвитку спеціальності та ринку праці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ОП вкладаються у три тенденції розвитку спеціальності на ринку праці: 1) потреба у спеціалістах, здатних працювати у польових умовах для потреб природоохоронних установ. Забезпечують: ПРН 12 (Демонструвати знання про основні закономірності формування, кількісної оцінки та стратегії збереження біологічного різноманіття, збільшення продуктивності й стійкості агроценозів та природних екосистем); ПРН 15 (Знати принципи розробки алгоритму та проведення дослідно-пошукової діяльності за спеціалізацією); ПРН 16 (Застосовувати набуті знання для вирішення конкретних практичних завдань). 2) Потреба у спеціалістах-біологах, які б могли працювати з лабораторним обладнанням в установах медико-діагностичного, сільськогосподарського та біологічно-прикладного спрямування. Забезпечують ПРН 8 (Знати основні методологічні принципи наукового дослідження, методологічний і методичний інструментарій проведення досліджень), ПРН 9 (Вміти моделювати основні процеси дослідження з метою вибору методів, апаратурного забезпечення або створення нових методик). 3) фахівці-біологи набувають компетентностей, необхідних для роботи у ЗВО. Забезпечуються завдяки ПРН 10 (Вміти проводити статистичну обробку, аналіз та узагальнення отриманих експериментальних даних із використанням програмних засобів та сучасних інформаційних технологій, що використовують в галузі біології); ПРН 11 (Знати і аналізувати принципи структурно-функціональної організації, механізмів регуляції та адаптації організмів)</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яким чином під час формулювання цілей та програмних результатів навчання ОП було враховано галузевий та регіональний контекст</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Протягом останніх років кафедрою ботаніки були реалізовані наукові проекти щодо створення чотирьох Національних природних парків на території Херсонської області. Це дозволило створити біля 300 нових робочих місця, частину з яких займають випускники спеціальності 091 Біологія. Для такої категорії випускників, які орієнтовані на роботу спеціалістами у відділах цих наукових установ, прописані компетенції ФК6 (Розуміння необхідності збереження біорізноманіття, охорони навколишнього середовища та раціонального природокористування ), на них орієнтуються передбачені програмними результатами уміння ПРН 12 (Демонструвати знання про основні закономірності формування, кількісної оцінки та стратегії збереження біологічного різноманіття, збільшення продуктивності й стійкості агроценозів та природних екосистем), ПРН 14 (Знати основні вимоги чинного законодавства України щодо використання біологічних ресурсів). На території області функціонує низка медичних установ, працює біофабрика та гідробіологічна станція АН України, фермерські господарства тощо. Для цих установ потрібні фахівці, що вміють працювати з лабораторним устаткуванням та аналізувати отримані результати. Необхідні уміння здобувачі отримують під час вивчення дисциплін «Експериментальна фізіологія організму людини і тварин», «Лабораторний практикум з біології», «Методи культури клітин і тканин», «Імунобіотехнологія», «Клінічна паразитологія»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Продемонструйте, яким чином під час </w:t>
            </w:r>
            <w:r w:rsidRPr="00015418">
              <w:rPr>
                <w:rFonts w:ascii="Times New Roman" w:eastAsia="Times New Roman" w:hAnsi="Times New Roman" w:cs="Times New Roman"/>
                <w:b/>
                <w:bCs/>
                <w:sz w:val="24"/>
                <w:szCs w:val="24"/>
                <w:lang w:eastAsia="ru-RU"/>
              </w:rPr>
              <w:lastRenderedPageBreak/>
              <w:t>формулювання цілей та програмних результатів навчання ОП було враховано досвід аналогічних вітчизняних та іноземних програм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Під час підготовки ОП був вивчений досвід підготовки біологів в провідних університетах України. Зокрема, з навчальних планів Київського національного університету імені Тараса Шевченко були взяті дисципліни </w:t>
            </w:r>
            <w:r w:rsidRPr="00015418">
              <w:rPr>
                <w:rFonts w:ascii="Times New Roman" w:eastAsia="Times New Roman" w:hAnsi="Times New Roman" w:cs="Times New Roman"/>
                <w:sz w:val="24"/>
                <w:szCs w:val="24"/>
                <w:lang w:eastAsia="ru-RU"/>
              </w:rPr>
              <w:lastRenderedPageBreak/>
              <w:t>«Заповідна созологія», що забезпечують програмні результати навчання природоохоронного спрямування; Львівського національного університету імені Івана Франка – «Флористика та гербарна справа», яке віддзеркалює регіональний аспект підготовки. Також був врахований досвід закордонних університетів, зокрема, тих з якими ведеться активна співпраця: Варшавський університет, Познанський університет імені Адама Міцкевича, Поморська Академія в Слупську, Стокгольмський університет. Результатом врахування їх досвіду стало збільшення практичної підготовки здобувачів вищої освіти. Практики були збільшені з 2 місяців до півроку 2 роки тому.</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яким чином ОП дозволяє досягти результатів навчання, визначених стандартом вищої освіти за відповідною спеціальністю та рівнем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Затверджений стандарт вищої освіти для спеціальності 091 Біологія другого (магістерського) рівня відсутній</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Якщо стандарт вищої освіти за відповідною спеціальністю та рівнем вищої освіти відсутній, поясніть, яким чином визначені ОП програмні результати навчання відповідають вимогам Національної рамки кваліфікацій для відповідного кваліфікаційного рівня?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Згідно Постанови Кабінету Міністрів України №1341 від 23.11.2011 р. (зі змінами, внесеними згідно з Постановою КМ №509 від 12.06.2019), другий (магістерський) рівень вищої освіти відповідає восьмому рівню Національної рамки кваліфікацій. Передбачена рамкою компетенція особи відображена у ОПП як спільна інтегральна компетенція. Відповідність вимогам до знань, умінь і навичок здобувача, його комунікаційних здібностей, відповідальності та автономії, висвітленим у Національній рамці кваліфікацій, відображена через реалізацію відповідних програмних результатів навчання в процесі засвоєння компонентів освітньої програми: Спеціалізованим концептуальні знанням, що включають сучасні наукові здобутки у сфері професійної діяльності або галузі знань і є основою для оригінального мислення та проведення досліджень – відповідають програмні результати ПРН 8, ПРН5, ПРН 11, ПРН 12, ПРН14 обов’язкових компонент ОК1, ОК2, ОК3, ОК4, ОК5, ОК7, ОК8, ОК9, та всіх вибіркових компонент ОПП. Критичне осмислення проблем у галузі та на межі галузей знань – відповідає ПРН3 обов’язкових компонент ОК1, ОК3, ОК4, ОК5, ОК6, ОК7, ОК8, ОК9, та всіх вибіркових компонент ОПП. Спеціалізовані навички розв’язання проблем, необхідні для проведення досліджень та/або провадження інноваційної діяльності з метою розвитку нових знань та процедур – відповідають ПРН7, ПРН9, ПРН10 обов’язкових компонент ОК1, ОК2, ОК3, ОК5, ОК6, ОК7, ОК8, ОК9, вибіркових компонент ВК2, ВК4, ВК5, ВК6. Здатність інтегрувати знання та розв’язувати складні задачі у широких або мультидисциплінарних контекстах – відповідають ПРН9 обов’язкових компонент ОК1, ОК4, ОК5, ОК8, ОК9, вибіркових компонент ВК2, ВК5, ВК6. Здатність розв’язувати проблеми у нових або незнайомих середовищах за наявності неповної або </w:t>
            </w:r>
            <w:r w:rsidRPr="00015418">
              <w:rPr>
                <w:rFonts w:ascii="Times New Roman" w:eastAsia="Times New Roman" w:hAnsi="Times New Roman" w:cs="Times New Roman"/>
                <w:sz w:val="24"/>
                <w:szCs w:val="24"/>
                <w:lang w:eastAsia="ru-RU"/>
              </w:rPr>
              <w:lastRenderedPageBreak/>
              <w:t>обмеженої інформації з урахуванням аспектів соціальної та етичної відповідальності – відповідають ПРН7, ПРН 13 обов’язкових компонент ОК5, ОК6, ОК7, ОК8, ОК9, вибіркових компонент ВК2, ВК4, ВК5, ВК6, ВК7. Зрозуміле і недвозначне донесення власних знань, висновків та аргументації до фахівців і нефахівців, зокрема, до осіб, які навчаються – відповідає ПНР1 обов’язкових компонентів ОК1, ОК2, ОК3, ОК6, ОК7, ОК8, ОК9, вибіркових компонент від ВК2 до ВК7. Управління робочими або навчальними процесами, які є складними, непередбачуваними та потребують нових стратегічних підходів – відповідають ПРН13, ПРН16 обов’язкових компонент ОК1, ОК2, ОК4, ОК5 ОК6, ОК7, ОК8, ОК9, вибіркових компонент від ВК2 до ВК7. відповідальність за внесок до професійних знань і практики та/або оцінювання результатів діяльності команд та колективів – відповідає ПРН6 обов’язкових компонент ОК1, ОК2, ОК4, ОК5 ОК6, ОК7, ОК8, ОК9, вибіркових компонент ВК2, ВК5, ВК6, ВК7. Здатність продовжувати навчання з високим ступенем автономії – відповідають ПРН13, ПРН15, ПРН16 обов’язкових компонент від ОК1 до ОК9, вибіркових компонент від ВК2 до ВК7 http://www.kspu.edu/About/Faculty/Faculty_of_biolog_geograf_ecol/ChairBotany/Osvitno_prof_progr_BOTANY.aspx</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2. Структура та зміст освітньої програми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7"/>
        <w:gridCol w:w="12413"/>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є обсяг ОП (у кредитах ЄКТС)?</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90</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є обсяг освітніх компонентів (у кредитах Числове поле ЄКТС), спрямованих на формування компетентностей, визначених стандартом вищої освіти за відповідною спеціальністю та рівнем вищої освіти (за наявності)?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90</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Який обсяг (у кредитах ЄКТС) відводиться на дисципліни за вибором здобувачів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23.5</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що зміст ОП відповідає предметній області заявленої для неї спеціальності (спеціальностям, якщо освітня програма є міждисциплінарною)?</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Освітня діяльність здобувача РВО «магістр» за спеціальністю 091 Біологія передбачає в якості об’єктів вивчення структурні, функціональні та філогенетичні особливості біологічних систем різних рівнів організації (ОК3, ОК4, ОК5, ВК3, ВК6, ВК7), оволодіння теоретичним змістом науково-методологічних та еволюційних концепцій (ОК1, ОК3, ОК4), формування здатності до застосування експериментально-біологічних, фізіологічних, біотехнологічних, природоохоронних методів, методик та технологій (ОК4, ОК5, ВК2, ВК4, ВК5, ВК6), набуття вмінь використовувати в професійній та науковій діяльності спеціалізацією апаратурного забезпечення і обладнання (ОК4,ВК6, ВК2, ВК5, ВК6, ВК7). Магістр спеціальності 091 Біологія (за ОПП «Біологія») готується до здійснення науково-дослідної та педагогічної діяльності. Фахові компетенції, необхідні для здійснення науково-дослідної діяльності, формуються в процесі вивчення всіх дисциплін вибіркового блоку (ВК2, ВК3, ВК4, ВК5, ВК6, ВК7), а також дисциплін обов’язкової частини ОП, зміст яких передбачає формування науково-дослідних та комунікативних навичок (ОК2, ОК4, ОК5). Фахові компетенції, необхідні для здійснення педагогічної діяльності як викладача ЗВО, формуються в процесі вивчення дисциплін методичного і психолого-педагогічного характеру (ОК6, ОК7), а також закріплюються при проходженні виробничої (асистентської) практики (ОК8). Навчальний процес на факультеті біології, географії і екології для здобувачів РВО «магістр» за спеціальністю 091 Біологія реалізується за двома програмами: ОПП «Біологія» (90 кредитів) та ОНП «Ботаніка» (120 кредитів). Специфічність проаналізованої ОП проявляється через збалансовану представленість в межах варіативних компонент програми ботанічних (ВК3), медико-біологічних (ВК6), зоологічних (ВК7), біотехнологічних (ВК5), еколого-природоохоронних (ВК4) дисциплін. В ОНП «Ботаніка» потужніше представлені дисципліни фітобіологічного спрямування (4 обов’язкових, 4 варіативних, разом 39,5 кредитів), 43 кредити. Порівняно з ОПП «Середня освіта (біологія та здоров’я людини)» для здобувачів РВО «магістр», підготовка за ОПП «Біологія» спрямована на формування компетенцій, необхідних для фахівця-біолога та для педагогічної діяльності виключно викладача ЗВО. Таким чином, зміст освітньої програми, відображений у окремих освітніх компонентах, повністю відповідає предметній області спеціальності 091 Біологія за переліком дисциплін та програмних результатів навчання в межах основного та варіативного блоку. http://www.kspu.edu/About/Faculty/Faculty_of_biolog_geograf_ecol/ChairBotany/Osvitno_prof_progr_BOTANY.aspx</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Яким чином здобувачам вищої </w:t>
            </w:r>
            <w:r w:rsidRPr="00015418">
              <w:rPr>
                <w:rFonts w:ascii="Times New Roman" w:eastAsia="Times New Roman" w:hAnsi="Times New Roman" w:cs="Times New Roman"/>
                <w:b/>
                <w:bCs/>
                <w:sz w:val="24"/>
                <w:szCs w:val="24"/>
                <w:lang w:eastAsia="ru-RU"/>
              </w:rPr>
              <w:lastRenderedPageBreak/>
              <w:t>освіти забезпечена можливість формування індивідуальної освітньої траєкторії?</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Здобувачі РВО «магістр» за ОПП «Біологія» мають можливість і реально формують індивідуальну освітню траєкторію, що відображено у індивідуальному навчальному плані студента. План включає всі обов’язкові та частину вибіркових </w:t>
            </w:r>
            <w:r w:rsidRPr="00015418">
              <w:rPr>
                <w:rFonts w:ascii="Times New Roman" w:eastAsia="Times New Roman" w:hAnsi="Times New Roman" w:cs="Times New Roman"/>
                <w:sz w:val="24"/>
                <w:szCs w:val="24"/>
                <w:lang w:eastAsia="ru-RU"/>
              </w:rPr>
              <w:lastRenderedPageBreak/>
              <w:t>навчальних дисциплін, вибраних студентом з урахуванням структурно-логічної схеми ОП, формується та затверджується на початку навчального року. Індивідуальна частина нормативної компоненти ОП реалізується через підготовку кваліфікаційної роботи (проєкту), як самостійного наукового дослідження здобувача (ОК9). Студент має право вибору наукового керівника роботи та теми кваліфікаційної роботи (Положення про кваліфікаційну роботу (проєкт), затверджено Наказом ХДУ від 01.11.2019 №880-Д). Тематика робіт затверджується Наказом ректора ХДУ не пізніше грудня кожного року, на основі рапортів деканів факультетів. Попередньо тематика кваліфікаційних робіт розглядається і затверджується на засіданнях випускових кафедр (Положення про організацію освітнього процесу в ХДУ, затверджено Наказом ХДУ від 01.11.2019 № 881-Д). Варіативна складова передбачена Положенням про організацію освітнього процесу ХДУ. Варіативна частина навчального плану представлена дисциплінами самостійного вибору ХДУ та дисциплінами вільного вибору студента. http://www.kspu.edu/About/DepartmentAndServices/DMethodics/EduProcess.aspx В структурі ОПП «Біологія» на вибіркову компоненту припадає 23,5 кредитів: 20,5 кредитів дисциплін самостійного вибору ХДУ та 3 кредити дисциплін вільного вибору студента</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чином здобувачі вищої освіти можуть реалізувати своє право на вибір навчальних дисциплін?</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Навчальний план здобувачів РВО «магістр» за ОПП «Біологія» включає вибіркову частину з 12 варіативних дисциплін (6 освітніх компонент) обсягом 20,5 кредитів (від 3 до 4 кредитів кожна): Науково-дослідницький практикум з біології / Лабораторний практикум з біології, Основи геоботаніки / Основи фітоценології, Заповідна фітосозологія / Охорона рослинного світу, Методи культури клітин і тканин / Технологія вирощування біологічних об'єктів in vitro, Імунобіотехнологія / Основи морфометрії, Етологія / Клінічна паразитологія. 3 кредити дано на дисципліну вільного вибору студентів всього університету. Варіатив складає 23,5 кредитів (26,1% обсягу ОП). Вивчення дисциплін вільного вибору в ХДУ регламентується Положенням яким визначено порядок та умови обрання студентами дисциплін за вибором (Наказ ХДУ від 02.07.2016 № 428-Д) http://www.kspu.edu/About/DepartmentAndServices/DMethodics/EduProcess.aspx Вибір варіативних дисциплін здійснюється у межах, передбачених ОП та робочим навчальним планом, в обсязі не менш 25% загальної кількості кредитів ЄКТС для даного РВО. Студент вибирає їх при формуванні індивідуального навчального плану на початку навчального року. До варіативної частини плану можуть бути зараховані дисципліни, які здобувач – учасник програми академічної мобільності обирає у навчальному закладі-партнері, за умови документального підтвердження їх вивчення. Обсяг однієї варіативної дисципліни - не менше 3 кредитів ЄКТС (90 годин). Викладання дисциплін можуть здійснювати всі кафедри університету за умови наявності відповідного забезпечення. Викладання вибіркових компонент аналізованої ОПП «Біологія» здійснюють викладачі кафедри ботаніки (http://www.kspu.edu/About/Faculty/Faculty_of_biolog_geograf_ecol/ChairBotany/EduActivities.aspx) і кафедри біології людини та імунології (http://www.kspu.edu/About/Faculty/Faculty_of_biolog_geograf_ecol/DepartmentofHumanBiologyandImmunology/Teaching.aspx). Перелік вибіркових дисциплін для вільного вибору студентів всього університету, та їх презентаційні матеріали </w:t>
            </w:r>
            <w:r w:rsidRPr="00015418">
              <w:rPr>
                <w:rFonts w:ascii="Times New Roman" w:eastAsia="Times New Roman" w:hAnsi="Times New Roman" w:cs="Times New Roman"/>
                <w:sz w:val="24"/>
                <w:szCs w:val="24"/>
                <w:lang w:eastAsia="ru-RU"/>
              </w:rPr>
              <w:lastRenderedPageBreak/>
              <w:t>щорічно оновлюються у каталозі, розміщеному на сайті KSU Online: http://ksuonline.kspu.edu/ Каталог формується на основі рапортів деканів факультетів. Для формування контингенту студентів для вивчення вибіркових дисциплін на засіданні розширеного старостату студенти ознайомлюються з переліком дисциплін, алгоритмом їх вибору і реєстрації. Після ознайомлення студенти подають електронні заяви через заповнення анкети на сайті KSU Online. Для вивчення вибіркових дисциплін у масштабах університету виділяється один день на тиждень, за окремим розкладом; розклад розміщується на сайті ХДУ, на дошках оголошень факультетів http://www.kspu.edu/ForStudent/Shedule.aspx У разі поновлення, переведення студента перезарахування вибіркових дисциплін проводиться на підставі подання факультету та академічної довідки студента. Перезарахування кредитів проводиться за рахунок фактично вивчених дисциплін певного циклу за умови однакової кількості кредитів</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яким чином ОП та навчальний план передбачають практичну підготовку здобувачів вищої освіти, яка дозволяє здобути компетентності, необхідні для подальшої професійної діяльності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У ОПП «Біологія» включений ОК8 – виробнича (асистентська) практика (12 кредитів, 8 тижнів). Структура і зміст практичної підготовки здобувачів унормовуються «Положенням про порядок проведення практики студентів ХДУ» (Наказ ХДУ від 02.06.2017 № 337-Д) http://www.kspu.edu/About/DepartmentAndServices/DAcademicServ/DMethodicsPractice.aspx Під час проходження виробничої практики здобувач має застосувати всі набуті загальні і фахові предметні компетентності, продемонструвати спроможність до реалізації всіх програмних результатів навчання, передбачених ОП. Мета і завдання практики, її зміст, основні види і форми роботи здобувачів, вимоги до звіту та критерії оцінювання відображені в робочій програмі виробничої (асистентської) практики, яку розробляють фахівці випускових кафедр http://www.kspu.edu/About/Faculty/Faculty_of_biolog_geograf_ecol/DepartmentofHumanBiologyandImmunology/Practice/programu_praktuk.aspx Метою практичної підготовки є оволодіння здобувачами методами, формами освітньої роботи у закладах вищої освіти, формування у них фахових вмінь у сфері викладацької діяльності за напрямами: навчальна робота, навчально-методична робота, науково-дослідна, організаційно-виховна. Базами практики є випускові кафедри ФБГЕ, керівництво забезпечують викладачі. Підсумкова форма контролю - залік. Частиною підготовки до атестації здобувачів є переддипломна практика (3 семестр, 8 тижнів). Метою її є завершення кваліфікаційної роботи (проєкту) та підготовка до підсумкової атестації</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Продемонструйте, що ОП дозволяє забезпечити набуття здобувачами вищої освіти соціальних навичок (soft skills) упродовж </w:t>
            </w:r>
            <w:r w:rsidRPr="00015418">
              <w:rPr>
                <w:rFonts w:ascii="Times New Roman" w:eastAsia="Times New Roman" w:hAnsi="Times New Roman" w:cs="Times New Roman"/>
                <w:b/>
                <w:bCs/>
                <w:sz w:val="24"/>
                <w:szCs w:val="24"/>
                <w:lang w:eastAsia="ru-RU"/>
              </w:rPr>
              <w:lastRenderedPageBreak/>
              <w:t>періоду навчання, які відповідають цілям та результатам навчання ОП результатам навчання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ОП дозволяє забезпечити набуття здобувачами Soft skills через формування таких загальних компетентностей, як здатність до пошуку та аналізу інформації з використанням різних джерел, у т.ч. результатів власних досліджень (ЗК 1), здатність генерувати нові ідеї (креативність) (ЗК 2), здатність до комунікації у професійній діяльності, у т.ч. на міжнародному рівні (ЗК 3), здатність до прийняття рішень у складних і непередбачуваних умовах, що потребує застосування нових підходів та прогнозування (ЗК 6), здатність діяти соціально відповідально та свідомо (ЗК 9). До відповідних програмних результатів належить вміння спілкуватись в діалоговому режимі українською та іноземною мовами з колегами та цільовою аудиторією (ПРН1), використання бібліотек, інформаційних баз даних, інтернет ресурсів для пошуку необхідної інформації (ПРН2); вміння знаходити шляхи швидкого і ефективного розв’язку поставленого завдання, генерування ідей з використанням отриманих знань та навичок (ПРН3), спроможність </w:t>
            </w:r>
            <w:r w:rsidRPr="00015418">
              <w:rPr>
                <w:rFonts w:ascii="Times New Roman" w:eastAsia="Times New Roman" w:hAnsi="Times New Roman" w:cs="Times New Roman"/>
                <w:sz w:val="24"/>
                <w:szCs w:val="24"/>
                <w:lang w:eastAsia="ru-RU"/>
              </w:rPr>
              <w:lastRenderedPageBreak/>
              <w:t>визначати свій внесок у справу, здійснювати злагоджену роботу на результат з урахуванням суспільних, державних і виробничих інтересів (ПРН4), дотримання норм академічної доброчесності в навчальній та науковій діяльності з метою забезпечення довіри до результатів наукової роботи, знання основних правових категорій та особливості використання результатів інтелектуальної діяльності (ПРН6), вміння визначати потенційно небезпечні виробничі процеси, дотримання правил безпеки життєдіяльності (ПРН7)</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чином зміст ОП ураховує вимоги відповідного професійного стандарту?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Здобувач другого (магістерського) рівня вищої освіти за ОПП «Біологія» спеціальності 091 Біологія отримує кваліфікацію «Біолог. Викладач закладу вищої освіти (біологія)». Затверджений професійний стандарт для означеної кваліфікації відсутній. Нормативним документом, що визначає перелік компетенцій і програмованих результатів навчання, які складають зміст аналізованої ОПП «Біологія», є Національна рамка кваліфікацій (затверджена Постанови Кабінету Міністрів України №1341 від 23.11.2011 р. (зі змінами, внесеними згідно з Постановою КМ №509 від 12.06.2019) https://mon.gov.ua/ua/osvita/nacionalna-ramka-kvalifikacij/rivni-nacionalnoyi-ramki-kvalifikacij https://zakon.rada.gov.ua/laws/show/1341-2011-%D0%BF</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Який підхід використовує ЗВО для співвіднесення обсягу окремих освітніх компонентів ОП (у кредитах ЄКТС) із фактичним навантаженням здобувачів вищої освіти (включно із самостійною роботою)?</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Обсяг навчального навантаження студента (трудомісткість навчання) встановлюється в академічних кредитах та в годинах на основі обсягу окремих компонент навчального плану. Регламентується Положенням про організацію освітнього процесу в ХДУ (Наказ ХДУ від 01.11.2019 №881-Д), Положенням про організацію самостійної роботи студентів у ХДУ (Наказ ХДУ від 02.07.2016 №428-Д). Кількість дисциплін в навчальному плані за ОПП «Біологія» спеціальності 091 Біологія для одного року навчання складає 16, на окрему дисципліну припадає 3-6 кредитів ЄКТС. Ціна кредиту - 30 академічних годин, які включають аудиторні заняття, самостійну роботу студента, контрольні заходи, практичну підготовку тощо. Навчальний час, відведений для самостійної роботи здобувача, складає для магістратури від 1/3 до 2/3 загального обсягу навчального часу конкретної дисципліни. Обліковими одиницями навчального часу студента в ХДУ, відведеного на аудиторну роботу, є академічна година (40 хв, 2 години без перерви – 80 хв), навчальний день (не більше 9 академічних годин за умови 5-ти денного робочого тижня або 7,5 годин за умови 6-ти денного робочого тижня), тиждень (з урахуванням усіх видів навчальної діяльності – 45 годин), семестр (складає 16-18 тижнів), курс (два навчальних семестри, два атестаційних тижні, двоє сесій та канікули, дорівнює 60 кредитам ЄКТС). Навчальні дні та їх тривалість визначаються щорічним графіком освітнього процесу та планом-регламентом роботи ХДУ: http://www.kspu.edu/Legislation/Plan.aspx</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Якщо за ОП здійснюється підготовка здобувачів вищої </w:t>
            </w:r>
            <w:r w:rsidRPr="00015418">
              <w:rPr>
                <w:rFonts w:ascii="Times New Roman" w:eastAsia="Times New Roman" w:hAnsi="Times New Roman" w:cs="Times New Roman"/>
                <w:b/>
                <w:bCs/>
                <w:sz w:val="24"/>
                <w:szCs w:val="24"/>
                <w:lang w:eastAsia="ru-RU"/>
              </w:rPr>
              <w:lastRenderedPageBreak/>
              <w:t>освіти за дуальною формою освіти, продемонструйте, яким чином структура освітньої програми та навчальний план зумовлюються завданнями та особливостями цієї форми здобуття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Нормативними документами, що регламентують освітній процес в ХДУ, дуальна форма здобуття освіти не передбачена. Університет використовує окремі елементи дуальної освіти, спираючись на розуміння необхідності підготовки фахівців здатних працювати в умовах реального виробництва. Окремі складові дуальної освіти в структурі ОПП «Біологія» для здобувачів спеціальності 019 Біологія реалізуються через такі види та форми навчання як </w:t>
            </w:r>
            <w:r w:rsidRPr="00015418">
              <w:rPr>
                <w:rFonts w:ascii="Times New Roman" w:eastAsia="Times New Roman" w:hAnsi="Times New Roman" w:cs="Times New Roman"/>
                <w:sz w:val="24"/>
                <w:szCs w:val="24"/>
                <w:lang w:eastAsia="ru-RU"/>
              </w:rPr>
              <w:lastRenderedPageBreak/>
              <w:t>проведення навчальних занять безпосередньо на робочих місцях, а саме практичні заняття з теми «Збереження і невиснажливе використання фіторізноманіття України,, (ВК 4), «Геоботанічний опис – структура та методика виконання» (ВК 3) проводяться на території НПП «Олешківські піски». Як елемент ОК9, здобувачі виконують дипломні роботи за тематикою, що пов’язана з реальною фаховою природоохоронною чи прикладною біологічною діяльністю. На старших курсах університет підтримує дуальні форми через надання індивідуальних графіків навчання студентам, які працюють на майбутніх робочих місцях. Окремого значення набуває залучення практиків до проведення екскурсій в рамках навчальних занять та практик, до керівництва та рецензування дипломних робіт</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3. Доступ до освітньої програми та визнання результатів навчання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53"/>
        <w:gridCol w:w="10717"/>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Наведіть посилання на веб-сторінку, яка містить інформацію про правила прийому на навчання та вимоги до вступників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8" w:tgtFrame="_blank" w:history="1">
              <w:r w:rsidRPr="00015418">
                <w:rPr>
                  <w:rFonts w:ascii="Times New Roman" w:eastAsia="Times New Roman" w:hAnsi="Times New Roman" w:cs="Times New Roman"/>
                  <w:color w:val="0000FF"/>
                  <w:sz w:val="24"/>
                  <w:szCs w:val="24"/>
                  <w:u w:val="single"/>
                  <w:lang w:eastAsia="ru-RU"/>
                </w:rPr>
                <w:t>http://www.kspu.edu/Entrant/SelectionCommittee.aspx</w:t>
              </w:r>
            </w:hyperlink>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Поясніть, як правила прийому на навчання та вимоги до вступників ураховують особливості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Умови прийому до ХДУ визначаються відповідно до ліцензії МОН України (наказ МОН України від 22.05.2017 р. №102-л) та Правил прийому на навчання до ХДУ (розроблені Приймальною комісією ХДУ відповідно до Умов прийому на навчання до ВНЗ, затверджених наказом МОН України від 11.10.2018 № 1096, зареєстрованих в Міністерстві юстиції України 21.12.2018 № 1456/32908). Для допуску до вступу на навчання за акредитованою ОП необхідна наявність ступеня бакалавра або магістра чи освітньо-кваліфікаційного рівня спеціаліста. Правила прийому до ХДУ чітко регламентовані, цілком прозорі і зрозумілі для зацікавлених осіб, інформація розміщена на вебсайті ХДУ (http://www.kspu.edu/Entrant/SelectionCommittee.aspx). Програма фахового вступного випробування з біології готується у відповідності до основного профілю підготовки, Включає основні теоретичні положення ботаніки, фізіології рослин, мікробіології, зоології, генетики, анатомії і фізіології людини і тварин, еволюційної теорії, екології та охорони природи. Формування програми спирається на перевірку базових компетентностей, досягнених результатів навчання відповідно до нормативної складової ОП. Це забезпечує рівність вступників, які завершили попереднє навчання в іншому ВНЗ або за іншою ОП. Випробування письмове, білети включають 3 питання. Для осіб, які </w:t>
            </w:r>
            <w:r w:rsidRPr="00015418">
              <w:rPr>
                <w:rFonts w:ascii="Times New Roman" w:eastAsia="Times New Roman" w:hAnsi="Times New Roman" w:cs="Times New Roman"/>
                <w:sz w:val="24"/>
                <w:szCs w:val="24"/>
                <w:lang w:eastAsia="ru-RU"/>
              </w:rPr>
              <w:lastRenderedPageBreak/>
              <w:t>здобули повну або неповну вищу освіту за спорідненою або іншою спеціальністю, і бажають навчатись за ОПП «Біологія», проводиться додаткова усна співбесіда з функціональної біології</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документом ЗВО регулюється питання визнання результатів навчання, отриманих в інших ЗВО? Яким чином забезпечується його доступність для учасників освітнього процесу?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Для здобувачів, які навчались в українських закладах освіти, визнання результатів навчання отриманих в інших ЗВО здійснюється на підставі Положення про організацію освітнього процесу (Наказ ХДУ 01.11.2019 №881-Д), що передбачає: проведення порівняльного аналізу освітніх документів (академдовідки або копії залікової книжки) здобувача зі змістом нормативної частини ОП університету, визначення переліку освітніх компонентів; визначення вибіркових дисциплін, що можуть бути зараховані та визначення компонентів, що їх слід скласти з метою вирівнювання в навчальних планах. Вирівнювання відбувається у терміни, визначені окремим розпорядженням (як правило впродовж 2 місяців), на підставі заяви здобувача та оплати ним освітніх послуг. Для здобувачів, які беруть участь у програмі академічної мобільності на базі закордонних ЗВО, визнання результатів навчання здійснюється відповідно до Положення про академічну мобільність студентів ХДУ (Наказ ХДУ 29.10.2015 р. №628-Д). http://www.kspu.edu/About/DepartmentAndServices/DMethodics/EduProcess.aspx Якщо особа вступає на навчання на підставі іноземних документів про освіту, університет готує відповідні подання до Інформаційно-іміджевого центру МОН України для проведення процедури визнання зазначених документів. Після отримання відповідного сертифікату, навчання може бути продовжено. У разі непроходження процедури визнання впродовж першого семестру, студент відраховується з університету. Ця норма закріплена в Правилах прийому на навчання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на конкретних прикладах практику застосування вказаних правил на відповідній ОП (якщо такі були)?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час навчання здобувачів РВО «магістр» за ОПП «Біологія» (1 рік 4 місяці) вказані правила не застосовувались у зв’язку з відсутністю прецеденту</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документом ЗВО регулюється питання визнання результатів навчання, отриманих у неформальній освіті? Яким чином забезпечується його доступність для учасників освітнього процесу?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Станом на момент перевірки університет не проводив процедуру визнання результатів навчання, отриманих у неформальній освіті. В той же час Положення про організацію освітнього процесу містить право університету, в якості експерименту, здійснювати таку роботу. Як підготовчий етап до такого виду діяльності, університет впродовж 4-х років (з 2016 р.) в межах діяльності освітнього центру «Крим - Україна» активно проводить процедуру атестації для визнання здобутих кваліфікацій, результатів навчання та періодів навчання в системі вищої освіти, здобутих на тимчасово окупованій території України після 20 лютого 2014 року (порядок проходження розроблено відповідно до наказу МОН України від19.05.2016 № 537, схвалено вченою радою університету та затверджено наказом ректора). Інформація про Порядок розміщена на сайті університету на сторінці Освітнього центру: http://www.kspu.edu/NewsPages/Crimea.aspx. Таку процедуру здійснено для 17 осіб за різними </w:t>
            </w:r>
            <w:r w:rsidRPr="00015418">
              <w:rPr>
                <w:rFonts w:ascii="Times New Roman" w:eastAsia="Times New Roman" w:hAnsi="Times New Roman" w:cs="Times New Roman"/>
                <w:sz w:val="24"/>
                <w:szCs w:val="24"/>
                <w:lang w:eastAsia="ru-RU"/>
              </w:rPr>
              <w:lastRenderedPageBreak/>
              <w:t>спеціальностями університету. Якість та надійність визнання результатів навчання забезпечені проведенням співбесіди з претендентом, вирівнюванням у навчальних планах. Після поновлення на навчання всі здобувачі завершили навчання та успішно пройшли атестацію здобувача. Серед проблем – попереднє негативне ставлення осіб, що поновлюються, до необхідності повторного навчання. Після проходження атестаційної співбесіди і висвітлення конкретних проблем у змісті та якості підготовки, подібні суб’єктивні чинники зникають</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на конкретних прикладах практику застосування вказаних правил на відповідній ОП (якщо такі були)?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час навчання здобувачів РВО «магістр» за ОПП «Біологія» (1 рік 4 місяці) вказані правила не застосовувались у зв’язку з відсутністю прецеденту</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4. Навчання і викладання за освітньою програмою</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1"/>
        <w:gridCol w:w="11869"/>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яким чином форми та методи навчання і викладання на ОП сприяють досягненню програмних результатів навчання? Наведіть посилання на відповідні документи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В ОП зазначена реалізація таких методів і форм навчання і викладання: студентоцентроване навчання, самонавчання, проблемно-орієнтоване навчання, практика із використанням загально- та спеціально-наукових методів (методи лабораторних та польових досліджень, методи статистичної обробки експериментальних даних, інформаційні та комунікаційні технології), комбінація лекцій, практичних занять, розв’язування ситуаційних завдань, тренінгів, кейсів, виконання дослідницьких проєктів і робіт. Форми організації освітнього процесу та види навчальних занять визначає Положення про організацію освітнього процесу у ХДУ (Наказ ХДУ 01.11.2019 №881-Д). Відповідно до визначено оптимальні методи навчання визначаються у робочій навчальній програмі дисципліни (Положення про навчально-методичний комплекс дисциплін кафедри ХДУ, Наказ ХДУ 01.11.2019 №889-Д) http://www.kspu.edu/About/DepartmentAndServices/DMethodics/EduProcess.aspx Досягненню програмних результатів навчання сприяє поєднання інформаційно-рецептивних, репродуктивних та продуктивних, частково-пошукових та дослідницьких методів. Застосування останніх відображено у методичних рекомендаціях до виконання практичних, лабораторних, семінарських занять, що розроблені викладачами (І. Карташова, Д. Мальчикова Навчальний зошит з дисципліни «Методика викладання фахових природничих дисциплін у закладі вищої освіти»; М. Сидорович «Науково-дослідний практикум з біології» тощо)</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Продемонструйте, яким чином форми і методи навчання і викладання відповідають вимогам студентоцентрованого підходу? Яким є рівень задоволеності </w:t>
            </w:r>
            <w:r w:rsidRPr="00015418">
              <w:rPr>
                <w:rFonts w:ascii="Times New Roman" w:eastAsia="Times New Roman" w:hAnsi="Times New Roman" w:cs="Times New Roman"/>
                <w:b/>
                <w:bCs/>
                <w:sz w:val="24"/>
                <w:szCs w:val="24"/>
                <w:lang w:eastAsia="ru-RU"/>
              </w:rPr>
              <w:lastRenderedPageBreak/>
              <w:t>здобувачів вищої освіти методами навчання і викладання відповідно до результатів опитувань?</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Створення освітнього середовища, орієнтованого на задоволення потреб та інтересів здобувачів фахової вищої освіти передбачає включення до навчальних планів циклу професійної підготовки дисциплін за вибором здобувача, що надає можливості для формування індивідуальної освітньої траєкторії. Під час проведення практичних, лабораторних занять з обов’язкових та варіативних дисциплін ОПП «Біологія» широко використовуються парні та групові (робота в малій групі) форми організації роботи, на семінарських і практичних занять застосовуються інтерактивні методи («мозковий штурм», робота в малих групах, ситуаційне моделювання), що заохочує здобувачів до ролі автономних і відповідальних суб’єктів освітнього процесу. </w:t>
            </w:r>
            <w:r w:rsidRPr="00015418">
              <w:rPr>
                <w:rFonts w:ascii="Times New Roman" w:eastAsia="Times New Roman" w:hAnsi="Times New Roman" w:cs="Times New Roman"/>
                <w:sz w:val="24"/>
                <w:szCs w:val="24"/>
                <w:lang w:eastAsia="ru-RU"/>
              </w:rPr>
              <w:lastRenderedPageBreak/>
              <w:t xml:space="preserve">Розробка завдань практичного характеру з більшості навчальних дисциплін має особистісно зорієнтований характер з врахуванням рівнів досягнення програмних результатів навчання. Рівень задоволеності здобувачів вищої освіти навчальним процесом, що таким чином забезпечує реалізацію ОП, в цілому є задовільним.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яким чином забезпечується відповідність методів навчання і викладання на ОП принципам академічної свободи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Академічна свобода здобувача передбачає вільне обрання змісту, форми і методів своєї навчальної і наукової роботи. Здобувачі вільні у виборі форм, прийомів і способів навчання, що передбачено робочими програмами дисциплін та дидактичним забезпеченням самостійної роботи здобувача (Положення про навчально-методичний комплекс дисциплін кафедри ХДУ, Наказ ХДУ 01.11.2019 №889-Д). Семінарські та практичні роботи з дисциплін «Макроеволюція органічного світу», «Методика викладання фахових біологічних дисциплін у ЗВО» проводяться у формі диспутів, дискусій з використанням пошукових методів навчання, де здобувач має право на репліку, участь в обговоренні дискусійних питань, виказуванні власної точки зору. У науковій роботі здобувач, отримуючи уявлення про зміст і методи наукової діяльності, вільно здійснює наукові дослідження у певній галузі біологічної науки (Положення про наукові об’єднання студентів ХДУ, Положення про кваліфікаційну роботу (проєкт), Наказ ХДУ 01.11.2019 №880-Д). http://www.kspu.edu/About/DepartmentAndServices/DMethodics/EduProcess.aspx http://www.kspu.edu/About/DepartmentAndServices/DepartmentTalentedPeople.aspx Академічна свобода викладача виражається через обрання ним на власний розсуд форм і методів навчання і контролю, відповідно до логіки та змісту конкретної дисципліни: http://www.kspu.edu/About/Faculty/Faculty_of_biolog_geograf_ecol/ChairBotany.aspx http://www.kspu.edu/About/Faculty/Faculty_of_biolog_geograf_ecol/DepartmentofHumanBiologyandImmunology.aspx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і у які строки учасникам освітнього процесу надається інформація щодо цілей, змісту та очікуваних результатів навчання, порядку та критеріїв оцінювання у межах окремих освітніх компонентів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Цілі, зміст та очікувані результати навчання, порядок та критерії оцінювання в межах окремих освітніх компонентів в повному обсязі наведені в робочих навчальних програмах дисциплін та практик (Положення про організацію освітнього процесу у ХДУ, п.2.3.1, Положення про навчально-методичний комплекс дисципліни кафедри ХДУ, п. 31-3.2, Положення про проведення практики студентів ХДУ, п. 2.4). Робочі навчальні програми, як складові навчально-методичних комплексів дисциплін, знаходяться на випускових кафедрах і надаються здобувачам за вимогою. Електронні варіанти розміщуються в режимі загального доступу на сторінках кафедр (сайт ХДУ): http://www.kspu.edu/About/Faculty/Faculty_of_biolog_geograf_ecol/ChairBotany.aspx http://www.kspu.edu/About/Faculty/Faculty_of_biolog_geograf_ecol/DepartmentofHumanBiologyandImmunology.aspx http://www.kspu.edu/About/GeneralChair.aspx Інформація про форми проміжного і підсумкового контролю, порядок проведення контрольних заходів надається викладачем на початку вивчення дисципліни. Розклад заліково-екзаменаційних сесій, складений відповідно до графіку навчального процесу, складається в терміни, передбачені Планом-регламентом роботи ХДУ (http://www.kspu.edu/Legislation/Plan.aspx), після затвердження вивішується на дошці оголошень ФБГЕ. Електронний варіант розміщується на відповідній сторінці сайту ХДУ </w:t>
            </w:r>
            <w:r w:rsidRPr="00015418">
              <w:rPr>
                <w:rFonts w:ascii="Times New Roman" w:eastAsia="Times New Roman" w:hAnsi="Times New Roman" w:cs="Times New Roman"/>
                <w:sz w:val="24"/>
                <w:szCs w:val="24"/>
                <w:lang w:eastAsia="ru-RU"/>
              </w:rPr>
              <w:lastRenderedPageBreak/>
              <w:t xml:space="preserve">(http://www.kspu.edu/ForStudent/Shedule.aspx), в групі ФБГЕ в соцмережі (https://www.facebook.com/groups/1639053176424538/?ref=bookmarks)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яким чином відбувається поєднання навчання і досліджень під час реалізації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На кафедрі ботаніки виконувалась тема «Молекулярна філогенія, таксономія, різноманіття та охорона фіто- та ліхенобіоти Північного Причорномор’я» (науковий керівник – проф. О.Є. Ходосовцев, 2016-2018 роки), продовжується виконання тем «Антропогенна трансформація фіторізноманіття Північного Причорномор’я: закономірності та можливості управління процесом» (науковий керівник проф. І.І. Мойсієнко) та «Молекулярний баркод симбіотичних угруповань як основа для оцінки структури наземних літогенних біотопів». Виконуються міжнародні теми: українсько-шведський проект «How the East was Won: Towards an environmental history of the Eurasian Steppe» (науковий керівник проф. І</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Мойсієнко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українсько</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чеський</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проект</w:t>
            </w:r>
            <w:r w:rsidRPr="00015418">
              <w:rPr>
                <w:rFonts w:ascii="Times New Roman" w:eastAsia="Times New Roman" w:hAnsi="Times New Roman" w:cs="Times New Roman"/>
                <w:sz w:val="24"/>
                <w:szCs w:val="24"/>
                <w:lang w:val="en-US" w:eastAsia="ru-RU"/>
              </w:rPr>
              <w:t xml:space="preserve"> «Lichens employed in the monitoring of global changes influencing natural forests in the Ukrainian Carpathians» (</w:t>
            </w:r>
            <w:r w:rsidRPr="00015418">
              <w:rPr>
                <w:rFonts w:ascii="Times New Roman" w:eastAsia="Times New Roman" w:hAnsi="Times New Roman" w:cs="Times New Roman"/>
                <w:sz w:val="24"/>
                <w:szCs w:val="24"/>
                <w:lang w:eastAsia="ru-RU"/>
              </w:rPr>
              <w:t>науковий</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керівник</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проф</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Є</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Ходосовцев</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Студенти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залучаються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виконання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досліджень</w:t>
            </w:r>
            <w:r w:rsidRPr="00015418">
              <w:rPr>
                <w:rFonts w:ascii="Times New Roman" w:eastAsia="Times New Roman" w:hAnsi="Times New Roman" w:cs="Times New Roman"/>
                <w:sz w:val="24"/>
                <w:szCs w:val="24"/>
                <w:lang w:val="en-US" w:eastAsia="ru-RU"/>
              </w:rPr>
              <w:t xml:space="preserve">: 1) </w:t>
            </w:r>
            <w:r w:rsidRPr="00015418">
              <w:rPr>
                <w:rFonts w:ascii="Times New Roman" w:eastAsia="Times New Roman" w:hAnsi="Times New Roman" w:cs="Times New Roman"/>
                <w:sz w:val="24"/>
                <w:szCs w:val="24"/>
                <w:lang w:eastAsia="ru-RU"/>
              </w:rPr>
              <w:t>отримання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амплікону</w:t>
            </w:r>
            <w:r w:rsidRPr="00015418">
              <w:rPr>
                <w:rFonts w:ascii="Times New Roman" w:eastAsia="Times New Roman" w:hAnsi="Times New Roman" w:cs="Times New Roman"/>
                <w:sz w:val="24"/>
                <w:szCs w:val="24"/>
                <w:lang w:val="en-US" w:eastAsia="ru-RU"/>
              </w:rPr>
              <w:t xml:space="preserve"> ITS </w:t>
            </w:r>
            <w:r w:rsidRPr="00015418">
              <w:rPr>
                <w:rFonts w:ascii="Times New Roman" w:eastAsia="Times New Roman" w:hAnsi="Times New Roman" w:cs="Times New Roman"/>
                <w:sz w:val="24"/>
                <w:szCs w:val="24"/>
                <w:lang w:eastAsia="ru-RU"/>
              </w:rPr>
              <w:t>послідовності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культури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гриба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або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відібраного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польових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умовах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лишайника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лабораторії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молекулярної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біології</w:t>
            </w:r>
            <w:r w:rsidRPr="00015418">
              <w:rPr>
                <w:rFonts w:ascii="Times New Roman" w:eastAsia="Times New Roman" w:hAnsi="Times New Roman" w:cs="Times New Roman"/>
                <w:sz w:val="24"/>
                <w:szCs w:val="24"/>
                <w:lang w:val="en-US" w:eastAsia="ru-RU"/>
              </w:rPr>
              <w:t xml:space="preserve">; 2) </w:t>
            </w:r>
            <w:r w:rsidRPr="00015418">
              <w:rPr>
                <w:rFonts w:ascii="Times New Roman" w:eastAsia="Times New Roman" w:hAnsi="Times New Roman" w:cs="Times New Roman"/>
                <w:sz w:val="24"/>
                <w:szCs w:val="24"/>
                <w:lang w:eastAsia="ru-RU"/>
              </w:rPr>
              <w:t>колективні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польові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виїзди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метою</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складання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описів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рослин</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лишайників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мохоподібних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відбору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зразків</w:t>
            </w:r>
            <w:r w:rsidRPr="00015418">
              <w:rPr>
                <w:rFonts w:ascii="Times New Roman" w:eastAsia="Times New Roman" w:hAnsi="Times New Roman" w:cs="Times New Roman"/>
                <w:sz w:val="24"/>
                <w:szCs w:val="24"/>
                <w:lang w:val="en-US" w:eastAsia="ru-RU"/>
              </w:rPr>
              <w:t xml:space="preserve">; 3) </w:t>
            </w:r>
            <w:r w:rsidRPr="00015418">
              <w:rPr>
                <w:rFonts w:ascii="Times New Roman" w:eastAsia="Times New Roman" w:hAnsi="Times New Roman" w:cs="Times New Roman"/>
                <w:sz w:val="24"/>
                <w:szCs w:val="24"/>
                <w:lang w:eastAsia="ru-RU"/>
              </w:rPr>
              <w:t>підготовка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статей</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публікацій</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зокрема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Чорноморському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ботанічному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журналі</w:t>
            </w:r>
            <w:r w:rsidRPr="00015418">
              <w:rPr>
                <w:rFonts w:ascii="Times New Roman" w:eastAsia="Times New Roman" w:hAnsi="Times New Roman" w:cs="Times New Roman"/>
                <w:sz w:val="24"/>
                <w:szCs w:val="24"/>
                <w:lang w:val="en-US" w:eastAsia="ru-RU"/>
              </w:rPr>
              <w:t xml:space="preserve">»; 4) </w:t>
            </w:r>
            <w:r w:rsidRPr="00015418">
              <w:rPr>
                <w:rFonts w:ascii="Times New Roman" w:eastAsia="Times New Roman" w:hAnsi="Times New Roman" w:cs="Times New Roman"/>
                <w:sz w:val="24"/>
                <w:szCs w:val="24"/>
                <w:lang w:eastAsia="ru-RU"/>
              </w:rPr>
              <w:t>створення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баз</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даних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гербарію</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w:t>
            </w:r>
            <w:r w:rsidRPr="00015418">
              <w:rPr>
                <w:rFonts w:ascii="Times New Roman" w:eastAsia="Times New Roman" w:hAnsi="Times New Roman" w:cs="Times New Roman"/>
                <w:sz w:val="24"/>
                <w:szCs w:val="24"/>
                <w:lang w:val="en-US" w:eastAsia="ru-RU"/>
              </w:rPr>
              <w:t xml:space="preserve"> PlutoF </w:t>
            </w:r>
            <w:r w:rsidRPr="00015418">
              <w:rPr>
                <w:rFonts w:ascii="Times New Roman" w:eastAsia="Times New Roman" w:hAnsi="Times New Roman" w:cs="Times New Roman"/>
                <w:sz w:val="24"/>
                <w:szCs w:val="24"/>
                <w:lang w:eastAsia="ru-RU"/>
              </w:rPr>
              <w:t>та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бази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даних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описів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w:t>
            </w:r>
            <w:r w:rsidRPr="00015418">
              <w:rPr>
                <w:rFonts w:ascii="Times New Roman" w:eastAsia="Times New Roman" w:hAnsi="Times New Roman" w:cs="Times New Roman"/>
                <w:sz w:val="24"/>
                <w:szCs w:val="24"/>
                <w:lang w:val="en-US" w:eastAsia="ru-RU"/>
              </w:rPr>
              <w:t xml:space="preserve"> Turboveg. </w:t>
            </w:r>
            <w:r w:rsidRPr="00015418">
              <w:rPr>
                <w:rFonts w:ascii="Times New Roman" w:eastAsia="Times New Roman" w:hAnsi="Times New Roman" w:cs="Times New Roman"/>
                <w:sz w:val="24"/>
                <w:szCs w:val="24"/>
                <w:lang w:eastAsia="ru-RU"/>
              </w:rPr>
              <w:t>Здобувачі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РВО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магістр</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залучаються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експедиційних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виїздів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аналізу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отриманих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матеріалів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під</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час</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виконання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госпдоговірних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тем</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кафедри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ботаніки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Теми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пов</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язані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ідентифікацією</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об</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єктів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флори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фауни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мікобіоти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під</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час</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оформлення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кадастрових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карток</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заповідні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об</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єкти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Матеріали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щодо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відкриття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нових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для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науки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таксонів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синтаксонів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знаходять</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відображення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розробках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лабораторних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занять</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дисципліни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Науково</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дослідницький</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практикум</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біології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лекційних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курсах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макроеволюції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органічного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світу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заповідної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фітосозології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основ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геоботаніки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Організаційно</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керівну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функцію</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науково</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дослідною</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роботою</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студентів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також</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виконують</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наукові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об</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єднання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студентів</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результатом</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роботи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яких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можуть</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бути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публікації</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студентські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доповіді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конференціях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творчі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курсові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кваліфікаційні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роботи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здобуття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РВО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бакалавр</w:t>
            </w:r>
            <w:r w:rsidRPr="00015418">
              <w:rPr>
                <w:rFonts w:ascii="Times New Roman" w:eastAsia="Times New Roman" w:hAnsi="Times New Roman" w:cs="Times New Roman"/>
                <w:sz w:val="24"/>
                <w:szCs w:val="24"/>
                <w:lang w:val="en-US" w:eastAsia="ru-RU"/>
              </w:rPr>
              <w:t>”, “</w:t>
            </w:r>
            <w:r w:rsidRPr="00015418">
              <w:rPr>
                <w:rFonts w:ascii="Times New Roman" w:eastAsia="Times New Roman" w:hAnsi="Times New Roman" w:cs="Times New Roman"/>
                <w:sz w:val="24"/>
                <w:szCs w:val="24"/>
                <w:lang w:eastAsia="ru-RU"/>
              </w:rPr>
              <w:t>магістр</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Основними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формами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таких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об</w:t>
            </w:r>
            <w:r w:rsidRPr="00015418">
              <w:rPr>
                <w:rFonts w:ascii="Times New Roman" w:eastAsia="Times New Roman" w:hAnsi="Times New Roman" w:cs="Times New Roman"/>
                <w:sz w:val="24"/>
                <w:szCs w:val="24"/>
                <w:lang w:val="en-US" w:eastAsia="ru-RU"/>
              </w:rPr>
              <w:t>’</w:t>
            </w:r>
            <w:r w:rsidRPr="00015418">
              <w:rPr>
                <w:rFonts w:ascii="Times New Roman" w:eastAsia="Times New Roman" w:hAnsi="Times New Roman" w:cs="Times New Roman"/>
                <w:sz w:val="24"/>
                <w:szCs w:val="24"/>
                <w:lang w:eastAsia="ru-RU"/>
              </w:rPr>
              <w:t>єднань</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до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складу</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яких</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входять</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здобувачі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РВО</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магістр</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за</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ОПП</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Біологія</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є</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наукові</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гуртки</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ботанічний</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гурток</w:t>
            </w:r>
            <w:r w:rsidRPr="00015418">
              <w:rPr>
                <w:rFonts w:ascii="Times New Roman" w:eastAsia="Times New Roman" w:hAnsi="Times New Roman" w:cs="Times New Roman"/>
                <w:sz w:val="24"/>
                <w:szCs w:val="24"/>
                <w:lang w:val="en-US" w:eastAsia="ru-RU"/>
              </w:rPr>
              <w:t xml:space="preserve"> «Campanula», </w:t>
            </w:r>
            <w:r w:rsidRPr="00015418">
              <w:rPr>
                <w:rFonts w:ascii="Times New Roman" w:eastAsia="Times New Roman" w:hAnsi="Times New Roman" w:cs="Times New Roman"/>
                <w:sz w:val="24"/>
                <w:szCs w:val="24"/>
                <w:lang w:eastAsia="ru-RU"/>
              </w:rPr>
              <w:t>керівник</w:t>
            </w:r>
            <w:r w:rsidRPr="00015418">
              <w:rPr>
                <w:rFonts w:ascii="Times New Roman" w:eastAsia="Times New Roman" w:hAnsi="Times New Roman" w:cs="Times New Roman"/>
                <w:sz w:val="24"/>
                <w:szCs w:val="24"/>
                <w:lang w:val="en-US" w:eastAsia="ru-RU"/>
              </w:rPr>
              <w:t xml:space="preserve"> – </w:t>
            </w:r>
            <w:r w:rsidRPr="00015418">
              <w:rPr>
                <w:rFonts w:ascii="Times New Roman" w:eastAsia="Times New Roman" w:hAnsi="Times New Roman" w:cs="Times New Roman"/>
                <w:sz w:val="24"/>
                <w:szCs w:val="24"/>
                <w:lang w:eastAsia="ru-RU"/>
              </w:rPr>
              <w:t>проф</w:t>
            </w:r>
            <w:r w:rsidRPr="00015418">
              <w:rPr>
                <w:rFonts w:ascii="Times New Roman" w:eastAsia="Times New Roman" w:hAnsi="Times New Roman" w:cs="Times New Roman"/>
                <w:sz w:val="24"/>
                <w:szCs w:val="24"/>
                <w:lang w:val="en-US" w:eastAsia="ru-RU"/>
              </w:rPr>
              <w:t xml:space="preserve">. </w:t>
            </w:r>
            <w:r w:rsidRPr="00015418">
              <w:rPr>
                <w:rFonts w:ascii="Times New Roman" w:eastAsia="Times New Roman" w:hAnsi="Times New Roman" w:cs="Times New Roman"/>
                <w:sz w:val="24"/>
                <w:szCs w:val="24"/>
                <w:lang w:eastAsia="ru-RU"/>
              </w:rPr>
              <w:t xml:space="preserve">Мойсієнко І.І.) та проблемні групи (проблемна група «Рослини нашого міста», керівник – доц. Загороднюк Н.В.). Кращі наукові праці студентів подаються до участі у Всеукраїнському конкурсі студентських наукових робіт з природничих, технічних та гуманітарних дисциплін http://www.kspu.edu/About/DepartmentAndServices/DepartmentTalentedPeople.aspx На факультеті біології, географії і екології акредитована аспірантура зі спеціальності 091 Біологія: http://www.kspu.edu/About/DepartmentAndServices/DDoctorants.aspx Кращим випускникам магістратури випусковими кафедрами надаються рекомендації до вступу в аспірантуру ХДУ для здобуття освітньо-наукового рівня доктора філософії PhD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Продемонструйте, із посиланням на </w:t>
            </w:r>
            <w:r w:rsidRPr="00015418">
              <w:rPr>
                <w:rFonts w:ascii="Times New Roman" w:eastAsia="Times New Roman" w:hAnsi="Times New Roman" w:cs="Times New Roman"/>
                <w:b/>
                <w:bCs/>
                <w:sz w:val="24"/>
                <w:szCs w:val="24"/>
                <w:lang w:eastAsia="ru-RU"/>
              </w:rPr>
              <w:lastRenderedPageBreak/>
              <w:t>конкретні приклади, яким чином викладачі оновлюють зміст навчальних дисциплін на основі наукових досягнень і сучасних практик у відповідній галузі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Зміст освітніх компонентів змінюється відповідно до сучасних публікацій. Так, до програми провідного курсу «Макроеволюція та системи органічного світу» (професор О.Є. Ходосовцев, професор Бойко М.Ф.) кожен рік </w:t>
            </w:r>
            <w:r w:rsidRPr="00015418">
              <w:rPr>
                <w:rFonts w:ascii="Times New Roman" w:eastAsia="Times New Roman" w:hAnsi="Times New Roman" w:cs="Times New Roman"/>
                <w:sz w:val="24"/>
                <w:szCs w:val="24"/>
                <w:lang w:eastAsia="ru-RU"/>
              </w:rPr>
              <w:lastRenderedPageBreak/>
              <w:t>включаються нові дані щодо корекції кладиститичної картини світу. Останні уточнення базуються на третій ревізії філем евкаріотичних організмів (Adl et al., 2019) опублікованої в Journal of Eukaryotic Microbiology. На відміну від Adl et al., 2012 [J. Euk. Microbiol. 59(5)] в цій роботі показана краще розділення багатьох клад у філогенетичних аналізах. Збільшений масив генетичної інформації та відкриття нових для науки видів дозволив уточнити розташування та рівень молекулярної відстані основних супер груп та груп найвищих рангів. Декілька клад, відомих лише із загальних біологічних проб, тепер знайшли місце в системі. Відбір проб ґрунтів, глибоких морських вод додали таксономічних сюрпризів. Головні зміни в новій системі стосуються підтвердженням гіпотези, що еукаріоти утворюють щонайменше два домініони AMORPHEA та DIAPHORETICKES. Крім того супер-група Exavata втратила монофілію і складається з двох груп Metamonada та Discoba, однак ще більше зміцніли позиції Haptista та Cryptista. В презентаційний матеріал включаються вже не п’ять супер груп (Amobozoa, Opistoconta, Archaeplastida, Excavates, Sar), але і нова супер-група Obazoa. При викладенні матеріалу щодо походження еукаріотичних організмів обговорюються сучасні гіпотези, зокрема воднева (Martin et al., 2014, 2017), яка передбачає одночасне походження ядра (ядерних мембран), плазматичної мембрани за участю ліпідів та мітохондрій шляхом симбіозу метаноутворюючих архебактерій (залежних від водню) та бактерій, подібних до сучасних альфа-протеобактерій. До лекційного матеріалу включено останнє відкриття асгардархеї Protmetheoarchaeum synthrophicum, що було здійснено японськими вченими (Imachi et al., 2019). Це дало можливість висунути гіпотезу E3 “Entangle-Engulf-Enslave”, яка показує ймовірний механізм утворення еукаріотичної клітини на основі асгардархеї та метаногенів, які жили в симбіозі з сульфатредукуючими бактеріями.</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яким чином навчання, викладання та наукові дослідження у межах ОП пов’язані із інтернаціоналізацією діяльності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Міжнародна академічна мобільність реалізується згідно Положення про академічну мобільність студентів ХДУ (№ 628-Д від 29.10.2015), 28 міжнародних договорів про співробітництво в галузі освіти та науки, міжнародних програм, проєктів, укладення угод про співробітництво між іноземним ЗВО та ХДУ. Студенти постійно проходять семестрове стажування в Поморській академії в Слупську (з 2012 р.), реалізуючи програму «Подвійний диплом», а протягом останніх 2 років за проектом Еразмус+ в Познанському університеті. Протягом 2015-2019 рр. викладачі та студенти брали участь в 10 міжнародних проектах, в яких партнерами виступали Китай, Норвегія, Польща, Швеція, Швейцарія, Чехія та Європейський Союз. Викладачі проходили стажування в Познанському університеті, Поморській академії в Слупську, Стокгольмському університеті. Професор І.І. Мойсієнко, як візит-професор, викладав 3 дисципліни в Поморській академії. На факультеті біології, географії та екології постійно з доповідями, лекціями або семінарами виступають вчені провідних університетів Європи, зокрема протягом останніх років: Володимир Зав’ялов (Університет Турку), Браян Кунс та Мац Відгрен (Стокгольмський університет), Івона Дембіч та Марія Захватович (Варшавський університет), Павел Радзіковський (Інститут ґрунту та рослинництва в Пулавах), Андрій Тарєєв (Жорж Август Університет Гьотінген) тощо.</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5. Контрольні заходи, оцінювання здобувачів вищої освіти та академічна доброчесність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95"/>
        <w:gridCol w:w="12575"/>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форми контрольних заходів у межах навчальних дисциплін ОП дозволяють перевірити досягнення програмних результатів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Об’єктивність оцінювання досягнення здобувачами програмних результатів навчання здійснюється відповідно до Положення про порядок оцінювання знань студентів при кредитно-трансферній системі організації освітнього процесу в ХДУ (Наказ ХДУ 29.03.2016 №218-Д). Рівень знань та вмінь студентів в межах окремих дисциплін оцінюється під час міжсесійного (поточного та атестаційного) та семестрового контролю знань (Положення про організацію освітнього процесу у ХДУ, Наказ ХДУ 01.11.2019 №881-Д). Поточний контроль здійснюється під час практичних, лабораторних, семінарських занять та для перевірки самостійної роботи студентів, у формі усного (Макроеволюція органічного світу), тестового (Основи наукової комунікації іноземними мовами, Імунобіотехнологія) та, рідше, практичного контролю. Міжсесійний атестаційний контроль спрямований на перевірку і оцінювання знань та умінь здобувача після вивчення матеріалу змістового модуля, здійснюється на останньому в модулі практичному (семінарському, лабораторному) занятті, передбачає проведення контрольної роботи (Експериментальна фізіологія організму людини і тканин), тестування (Основи наукової комунікації іноземними мовами) або колоквіуму (Основи геоботаніки). Результати - оцінюються за національною системою. Підсумковим є семестровий контроль. Проводиться у формі екзамену, диференційованого заліку або заліку, в усній або письмовій формі, у терміни, передбачені графіком навчального процесу. Результати фіксуються за національною системою. Остаточною оцінкою з дисципліни за семестр є підсумкова оцінка, що складається з балів поточного, атестаційного та семестрового контролю. Результати фіксуються за національною та кредитно-модульною системою, вносяться до відомості обліку успішності, залікової книжки та навчальної картки студента. Критерії оцінювання навчальних досягнень відповідно до різних форм навчальної діяльності та різних форм контролю включені до робочих навчальних програм дисциплін («Положення про навчально-методичний комплекс дисциплін кафедри Херсонського державного університету» (Наказ ХДУ 01.11.2019 № 889-Д), електронні копії яких розміщені на сторінках кафедр (http://www.kspu.edu/About/Faculty/Faculty_of_biolog_geograf_ecol/ChairBotany/EduActivities.aspx, http://www.kspu.edu/About/Faculty/Faculty_of_biolog_geograf_ecol/DepartmentofHumanBiologyandImmunology/Teaching.aspx#nagoru ), друковані – наявні на випускових кафедрах у відкритому доступі. Інформація про форми контролю, порядок проведення контрольних заходів надається викладачем на початку вивчення дисципліни. Розклад заліково-екзаменаційних сесій, складений відповідно до графіку навчального процесу, складається в терміни, передбачені Планом-регламентом роботи ХДУ (http://www.kspu.edu/Legislation/Plan.aspx), і після затвердження вивішується на дошці оголошень ФБГЕ. Електронний варіант розміщується на сайті ХДУ (http://www.kspu.edu/ForStudent/Shedule.aspx), в групі ФБГЕ в соцмережі (https://www.facebook.com/groups/1639053176424538/?ref=bookmarks)</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Яким чином забезпечуються чіткість та зрозумілість </w:t>
            </w:r>
            <w:r w:rsidRPr="00015418">
              <w:rPr>
                <w:rFonts w:ascii="Times New Roman" w:eastAsia="Times New Roman" w:hAnsi="Times New Roman" w:cs="Times New Roman"/>
                <w:b/>
                <w:bCs/>
                <w:sz w:val="24"/>
                <w:szCs w:val="24"/>
                <w:lang w:eastAsia="ru-RU"/>
              </w:rPr>
              <w:lastRenderedPageBreak/>
              <w:t>форм контрольних заходів та критеріїв оцінювання навчальних досягнень здобувачів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Чіткість та зрозумілість форм контрольних заходів та критеріїв оцінювання навчальних досягнень здобувачів вищої освіти забезпечуються наступними аспектами організації освітнього процесу у ЗВО: 1) На початку вивчення навчальної дисципліни викладач пояснює студентам порядок проведення контрольних заходів та надає інформацію про сутність форм контролю, передбачених робочою програмою з дисципліни. 2) В Положенні-про організацію освітнього процесу в </w:t>
            </w:r>
            <w:r w:rsidRPr="00015418">
              <w:rPr>
                <w:rFonts w:ascii="Times New Roman" w:eastAsia="Times New Roman" w:hAnsi="Times New Roman" w:cs="Times New Roman"/>
                <w:sz w:val="24"/>
                <w:szCs w:val="24"/>
                <w:lang w:eastAsia="ru-RU"/>
              </w:rPr>
              <w:lastRenderedPageBreak/>
              <w:t xml:space="preserve">ХДУ (Наказ ХДУ 01.11.2019 №881-Д) розділ V (Контрольні заходи) містить розгорнуті відомості про форми контролю, передбачені освітнім процесом в ХДУ, а також процедуру оцінювання навчальних досягнень студента http://www.kspu.edu/About/DepartmentAndServices/DMethodics/EduProcess.aspx 3) до обов’язкових освітніх компонент ОП включена дисципліна «Методика викладання фахових біологічних дисциплін у закладі вищої освіти», де в структурі окремої теми «Моніторинг якості навчальних досягнень студентів» розглядаються різні форми контролю навчальних досягнень студентів http://www.kspu.edu/About/Faculty/Faculty_of_biolog_geograf_ecol/ChairBotany/EduActivities.aspx 4) критерії оцінювання навчальних досягнень є обов’язковою складовою робочих програм освітніх компонент за ОПП «Біологія»: http://www.kspu.edu/About/Faculty/Faculty_of_biolog_geograf_ecol/ChairBotany/EduActivities.aspx вони включені в програми атестації здобувачів вищої освіти: http://www.kspu.edu/About/Faculty/Faculty_of_biolog_geograf_ecol/ChairBotany/FinalAtestBacalMag.aspx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чином і у які строки інформація про форми контрольних заходів та критерії оцінювання доводяться до здобувачів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Інформація про форми контролю та критерії оцінювання є складовою робочих програм, про що повідомляється на початку вивчення дисципліни: http://www.kspu.edu/About/Faculty/Faculty_of_biolog_geograf_ecol/ChairBotany/EduActivities.aspx Розклад заліково-екзаменаційних сесій, графіки ліквідації академічної заборгованості, розклад роботи екзаменаційних комісій з атестації здобувачів ВО складається за нормативами, передбаченими Положенням про порядок оцінювання знань студентів при кредитно-трансферній системі організації освітнього процесу в ХДУ (Наказ ХДУ від 29.03.2016 р. № 218-Д) http://www.kspu.edu/About/DepartmentAndServices/DMethodics/EduProcess.aspx Розклад складається відповідно до Плану-регламенту роботи ХДУ (http://www.kspu.edu/Legislation/Plan.aspx), вивішується на дошці оголошень ФБГЕ. Електронні варіанти розміщуються на сайті ХДУ (http://www.kspu.edu/ForStudent/Shedule.aspx), в групі ФБГЕ в соцмережі (https://www.facebook.com/groups/1639053176424538/?ref=bookmarks) Графік роботи екзаменаційної комісії визначається Положенням про порядок створення та організацію роботи екзаменаційної комісії з атестації здобувачів вищої освіти в ХДУ (Наказ ХДУ 01.11.2019 № 878-Д) http://www.kspu.edu/About/DepartmentAndServices/DMethodics/EduProcess.aspx Програми атестації здобувачів розробляються та оприлюднюються за 4 місяці до початку атестації, розміщуються на сайті ФБГЕ: http://www.kspu.edu/About/Faculty/Faculty_of_biolog_geograf_ecol/ChairBotany/FinalAtestBacalMag.aspx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чином форми атестації здобувачів вищої освіти відповідають вимогам стандарту вищої освіти (за наявності)?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Затверджений стандарт вищої освіти для спеціальності 091 Біологія другого (магістерського) рівня відсутній. Процедура атестації здобувачів вищої освіти за освітнім рівнем «магістр» проводиться відповідно до Положення про внутрішню систему забезпечення якості освіти ХДУ (Наказ ХДУ 06.12.2017 № 831-Д), Положення про порядок оцінювання знань студентів при кредитно-трансферній системі організації освітнього процесу (Наказ ХДУ 29.03.2016 № 218-Д), Положення про порядок створення та організацію роботи екзаменаційної комісії з атестації здобувачів вищої освіти в ХДУ (Наказ ХДУ 01.11.2019 № 878-Д) http://www.kspu.edu/About/DepartmentAndServices/DMethodics/EduProcess.aspx Атестацію проходить кожен здобувач після повного виконання навчального плану за ОП. Атестація здійснюється відкрито і гласно, складається з модульного комплексного екзамену (3 змістових модулі) та прилюдного захисту кваліфікаційної роботи (проєкту), і завершується видачою документів про присудження відповідного ступеня освіти та </w:t>
            </w:r>
            <w:r w:rsidRPr="00015418">
              <w:rPr>
                <w:rFonts w:ascii="Times New Roman" w:eastAsia="Times New Roman" w:hAnsi="Times New Roman" w:cs="Times New Roman"/>
                <w:sz w:val="24"/>
                <w:szCs w:val="24"/>
                <w:lang w:eastAsia="ru-RU"/>
              </w:rPr>
              <w:lastRenderedPageBreak/>
              <w:t xml:space="preserve">присвоєння здобутої кваліфікації. Для проведення атестації випускників створюються екзаменаційні комісії. Терміни атестації визначаються навчальними планами, графіком освітнього процесу та Планом-регламентом роботи ХДУ: http://www.kspu.edu/Legislation/Plan.aspx Програми атестації здобувачів розробляються та оприлюднюються за 4 місяці до початку атестації, розміщуються на сайті ФБГЕ: http://www.kspu.edu/About/Faculty/Faculty_of_biolog_geograf_ecol/ChairBotany/FinalAtestBacalMag.aspx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документом ЗВО регулюється процедура проведення контрольних заходів? Яким чином забезпечується його доступність для учасників освітнього процесу?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Зміст, порядок і процедури оцінювання здобувачів вищої освіти регламентуються в ХДУ Положенням про організацію освітнього процесу в ХДУ, (Наказ ХДУ 01.11.2019 №881-Д), Положенням про порядок оцінювання знань студентів при кредитно-трансферній системі організації освітнього процесу (Наказ ХДУ 29.03.2016 № 218-Д), Положенням про порядок створення та організацію роботи екзаменаційної комісії з атестації здобувачів вищої освіти в ХДУ (Наказ ХДУ 01.11.2019 №878-Д), Внутрішньою системою забезпечення якості освіти в ХДУ (Наказ ХДУ 06.12.2017 №831-Д), повні тексти яких оприлюднені на сайті ХДУ в режимі загального доступу: http://www.kspu.edu/About/DepartmentAndServices/DAcademicServ.aspx. http://www.kspu.edu/About/DepartmentAndServices/DMethodics/EduProcess.aspx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Яким чином ці процедури забезпечують об’єктивність екзаменаторів? Якими є процедури запобігання та врегулювання конфлікту інтересів? Наведіть приклади застосування </w:t>
            </w:r>
            <w:r w:rsidRPr="00015418">
              <w:rPr>
                <w:rFonts w:ascii="Times New Roman" w:eastAsia="Times New Roman" w:hAnsi="Times New Roman" w:cs="Times New Roman"/>
                <w:b/>
                <w:bCs/>
                <w:sz w:val="24"/>
                <w:szCs w:val="24"/>
                <w:lang w:eastAsia="ru-RU"/>
              </w:rPr>
              <w:lastRenderedPageBreak/>
              <w:t>відповідних процедур на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Об’єктивність оцінювання екзаменаторами результатів навчання студентів забезпечують: використання 100-бальної системи оцінювання, як засобу забезпечення відкритості контролю та подолання суб’єктивізму при оцінюванні знань (Положення про порядок оцінювання знань студентів при кредитно-трансферній системі організації освітнього процесу (Наказ ХДУ 29.03.2016 № 218-Д); залучення до прийняття іспиту завідувача кафедри у випадку, коли лекційний курс читає викладач без наукового ступеня або вченого звання (Положення про організацію освітнього процесу в ХДУ, п. 5.3.1); можливість для студентів, які отримали незадовільні оцінки, ліквідувати академзаборгованість (Положення…, п.5.7); проведення тестових ректорських контрольних робіт (Положення про порядок проведення ректорських контрольних робіт, Наказ ХДУ 20.01.2014 51-Д) http://www.kspu.edu/About/DepartmentAndServices/DMethodics/EduProcess.aspx http://www.kspu.edu/About/DepartmentAndServices/DAcademicServ/DEduMonitoring/Regulations.aspx У випадку виникнення конфлікту інтересів застосовується процедура подання здобувачем апеляції на отриману оцінку (Положення про організацію освітнього процесу, п.5.11, Наказ ХДУ 01.11.2019 №881-Д), http://www.kspu.edu/About/DepartmentAndServices/DAcademicServ.aspx В процесі впровадження ОПП «Біологія» для рівня вищої освіти «магістр» конфлікти інтересів не зафіксовані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чином процедури ЗВО урегульовують порядок повторного проходження контрольних заходів? Наведіть приклади застосування відповідних правил на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Студентам, які одержали під час сесії/семестрового контролю незадовільні оцінки, дозволяється ліквідувати академзаборгованість до початку наступного семестру у терміни, визначені графіком навчального процесу на поточний навчальний рік. Повторне складання екзаменів (заліків) допускається не більше двох разів з кожної дисципліни: один раз викладачу, який здійснював семестровий контроль (у випадку його відсутності – завідувачу відповідної кафедри), другий – комісії, яка створюється розпорядженням декана факультету. Розклад роботи комісії для ліквідації студентами академічної заборгованості встановлюється розпорядженням декана факультету і оприлюднюється разом з графіком заліково-екзаменаційної сесії. До складу комісії обов’язково включається педагог, який викладав цю навчальну дисципліну, а також викладачі кафедри певного профілю. Декан факультету до складу комісії не входить (Положення про організацію освітнього процесу в ХДУ, Наказ ХДУ 01.11.2019 №881-Д); http://www.kspu.edu/About/DepartmentAndServices/DAcademicServ.aspx. Приклад: здобувач СВО «магістр» за спеціальністю 091 Біологія, студент 111м групи Ан С.А. 06.06.2019 р. (залік за графіком) отримав оцінку «незараховано» (35, FX) з дисципліни «Науково-дослідницький практикум з біології, 25.06.2019 (ліквідація академзаборгованості) ліквідував академзаборгованість, отримавши оцінку «зараховано» (60, Е).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чином процедури ЗВО урегульовують порядок оскарження процедури та результатів проведення контрольних заходів? Наведіть приклади застосування відповідних правил на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За результатами письмових контрольних заходів здобувачі мають право особисто подати апеляцію на отриману оцінку. Апеляції розглядає апеляційна комісія ХДУ, яку очолює один з проректорів. До розгляду апеляції залучаються до 3-осіб з відповідної або спорідненої спеціальності, по одному провідному викладачу з кожної освітньої програми (за поданням факультетів). Результатом є прийняття одного з рішень: «попереднє оцінювання випробування відповідає рівню і якості виконаної роботи та не змінюється»; «попереднє оцінювання випробування не відповідає рівню і якості виконаної роботи та збільшується до … балів (вказується нова оцінка відповідно до прийнятої системи оцінювання результатів)». Результати оголошуються здобувачу відразу після закінчення розгляду його роботи. Здобувачу пропонується підписати протокол апеляційної комісії та вказати в ньому про свою згоду або незгоду з рішенням. У випадку прийняття рішення про зміну результатів попереднього випробування, нова оцінка знань здобувача виставляється спочатку в протоколі апеляційної комісії, а потім вносяться відповідні зміни до екзаменаційної відомості та залікової книжки. (Положення про організацію освітнього процесу в ХДУ, Наказ ХДУ 01.11.2019 №881-Д). http://www.kspu.edu/About/DepartmentAndServices/DAcademicServ.aspx Аналогічна процедура застосовується при апеляції абітурієнта на будь-яку оцінку, отриману на вступних іспитах. При реалізації ОПП «Біологія» процедури оскарження результатів проведення контрольних заходів не було.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Які документи ЗВО містять політику, </w:t>
            </w:r>
            <w:r w:rsidRPr="00015418">
              <w:rPr>
                <w:rFonts w:ascii="Times New Roman" w:eastAsia="Times New Roman" w:hAnsi="Times New Roman" w:cs="Times New Roman"/>
                <w:b/>
                <w:bCs/>
                <w:sz w:val="24"/>
                <w:szCs w:val="24"/>
                <w:lang w:eastAsia="ru-RU"/>
              </w:rPr>
              <w:lastRenderedPageBreak/>
              <w:t>стандарти і процедури дотримання академічної доброчесності?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Політика, стандарти та процедура дотримання академічної доброчесності учасниками освітнього процесу Херсонського державного університету регламентуються такими нормативними документами, як Статут Херсонського державного університету (нова редакція) (Наказ МОНУ від 08.08.2019 №108) http://www.kspu.edu/About/StatuteKSU.aspx, Методичні </w:t>
            </w:r>
            <w:r w:rsidRPr="00015418">
              <w:rPr>
                <w:rFonts w:ascii="Times New Roman" w:eastAsia="Times New Roman" w:hAnsi="Times New Roman" w:cs="Times New Roman"/>
                <w:sz w:val="24"/>
                <w:szCs w:val="24"/>
                <w:lang w:eastAsia="ru-RU"/>
              </w:rPr>
              <w:lastRenderedPageBreak/>
              <w:t xml:space="preserve">рекомендації МОН України для закладів вищої освіти з підтримки принципів академічної доброчесності (використання в роботі затверджене наказом ХДУ від 07.11.2018 №926-Д), Рекомендації МОН України щодо запобігання академічного плагіату та його виявлення в наукових роботах (використання затверджене розпорядженням проректора з наукової роботи ХДУ від 03.09.2018 №18), Положення про академічну доброчесність учасників освітнього процесу Херсонського державного університету (Наказом від 02.02.2018 № 76-Д), Положення про Комісію з питань академічної доброчесності Херсонського державного університету (наказ від 02.02.2018 № 77-Д) http://www.kspu.edu/Information/Academicintegrity.aspx Дотримання академічної доброчесності всіма учасниками освітнього процесу ХДУ є однією з ключових тез Стратегічного плану розвитку Херсонського державного університету на 2018-2023 рр. (Наказ ХДУ 03.09.2018 №672-Д) http://www.kspu.edu/Information/strategy.aspx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Які технологічні рішення використовуються на ОП як інструменти протидії порушенням академічної доброчесності?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В ХДУ використовується комплекс просвітницьких, інформаційно-методичних, популяризаційних та експертних заходів, спрямованих на попередження недотримання норм та правил академічної доброчесності (Положення про академічну доброчесність учасників освітнього процесу ХДУ, Наказ ХДУ 02.02.2018 № 76-Д) http://www.kspu.edu/Information/Academicintegrity.aspx Кваліфікаційні роботи здобувачів вищої освіти проходять перевірку з боку наукового керівника, рецензування, розгляд на кафедрі (попередній захист), внутрішню експертизу факультету (Положення про кваліфікаційну роботу (проєкт), Наказ ХДУ, 01.11.2019 № 880-Д): http://www.kspu.edu/About/DepartmentAndServices/DMethodics/EduProcess.aspx Для навчальних і навчально-методичних видань проводиться експертиза (рецензування): науковий розгляд рукопису на кафедрі, внутрішня та зовнішня експертиза (рецензування), редакційна експертиза (рецензування) з боку фахівця ХДУ або експертної групи (Положення про надання навчальним та навчально-методичним виданням рекомендаційного грифу вченої ради ХДУ, Наказ ХДУ 29.10.2015 № 628-Д): http://www.kspu.edu/About/DepartmentAndServices/DMethodics/ExpertGroup.aspx З червня 2018 р. укладено договір про співпрацю з ТОВ «Антиплагіат» (без фінансових зобов’язань) з метою виявлення академічного плагіату в наукових роботах. Через сервіс Unicheck перевірено протягом 2018/19 н.р. 1497 документів. З 2019 року підписано угоду про перевірку статей, поданих до друку в наукових фахових виданнях університету.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чином ЗВО популяризує академічну доброчесність серед здобувачів вищої освіти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Університет проводить інформаційну роботу щодо популяризації принципів академічної доброчесності серед учасників освітнього процесу через веб-сайт університету (http://www.kspu.edu/About/DepartmentAndServices/Library.aspx), проведення семінарів, майстер-класів, практичні заняття, залучаючи фахівців і експертів з академічної доброчесності. Формою популяризації академічної доброчесності серед учасників освітнього процесу є забезпечення відкритості та прозорості захистів курсових робіт студентів, кваліфікаційних робіт здобувачів вищої освіти, захисту дисертаційних робіт на здобуття наукового ступеня. Надаються рекомендації та консультації щодо способів і шляхів дотримання академічної доброчесності учасників освітнього процесу університету. До виховної роботи факультетів, кафедр, освітніх центрів вводяться заходи із формування у здобувачів вищої освіти етичних норм, що унеможливлюють академічний плагіат.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чином ЗВО реагує на порушення академічної доброчесності? Наведіть приклади відповідних ситуацій щодо здобувачів вищої освіти відповідної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Будь-який учасник освітнього процесу університету, який став свідком або має причину вважати, що стався факт порушення академічної доброчесності, має право повідомити про це Комісію з питань академічної доброчесності Херсонського державного університету (наказ від 02.02.2018 № 77-Д). Ця комісія є незалежним колегіальним органом, наділеним правом виявляти та встановлювати факти порушення академічної доброчесності учасників освітнього процесу університету та притягати їх до відповідальності. Відповідно до категорії виявленого порушення. За порушення правил академічної доброчесності до педагогічних, науково-педагогічних, наукових працівників та здобувачів вищої освіти застосовуються заходи дисциплінарної відповідальності відповідно до вимог законодавства України, Статуту Університету, Правил внутрішнього розпорядку та інших нормативних актів Університету. Порушення загальноприйнятих норм поведінки, ігнорування норм етики, моралі та громадської свідомості, етичних норм академічної та наукової діяльності розглядає комісія з питань академічної доброчесності та етики як вчинення аморального проступку, що за своїм характером несумісний із продовженням роботи, навчання в Університеті. http://www.kspu.edu/Information/Academicintegrity.aspx На ОП за час впровадження її в навчальний процес факти порушення академічної доброчесності не фіксувались. </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6. Людські ресурси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10"/>
        <w:gridCol w:w="10260"/>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чином під час конкурсного добору викладачів ОП забезпечується необхідний рівень їх професіоналізму?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Конкурсний добір викладачів, які реалізують ОП, проводиться згідно Положення про проведення конкурсного відбору … (Наказ ХДУ 03.10.2019 № 773-Д) Діяльність викладача оцінюється за групами показників: науково-дослідницька робота і міжнародна діяльність; науково-організаційна робота і організаційно-мистецька діяльність; оприлюднення результатів наукової, науково-методичної та мистецької діяльності; освітня діяльність; соціально-гуманітарна діяльність; науково-педагогічний потенціал; рейтингові показники. Інформація про порядок проведення конкурсного відбору в ХДУ, опис супровідних документів, в тому числі методика оцінювання діяльності викладача, та оголошення про проведення поточного конкурсу розміщені на сайті ХДУ: http://www.kspu.edu/About/AcademicCouncil.aspx Під час конкурсного добору викладачів ОП необхідний рівень їх професіоналізму забезпечується шляхом встановлення високих критеріїв професійної відповідності. Такими є присудження наукового звання чи ступеню, публікацій у рецензованих наукових виданнях, участь у грантових програмах, наукових проектах тощо. Високий рівень педагогічної майстерності конкурсант повинен підтвердити, провівши відкрите аудиторне заняття та отримавши схвальні відгуки на нього. Професійні якості конкурсанта обговорюються на засіданні відповідної кафедри в його присутності. Далі кандидатури розглядають на засіданні конкурсної комісії ХДУ, яка дає рекомендацію для розгляду претендентів на засіданні вченої ради інституту, факультету.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Опишіть, із посиланням на конкретні приклади, яким чином ЗВО залучає </w:t>
            </w:r>
            <w:r w:rsidRPr="00015418">
              <w:rPr>
                <w:rFonts w:ascii="Times New Roman" w:eastAsia="Times New Roman" w:hAnsi="Times New Roman" w:cs="Times New Roman"/>
                <w:b/>
                <w:bCs/>
                <w:sz w:val="24"/>
                <w:szCs w:val="24"/>
                <w:lang w:eastAsia="ru-RU"/>
              </w:rPr>
              <w:lastRenderedPageBreak/>
              <w:t>роботодавців до організації та реалізації освітнього процесу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Залучення роботодавців до організації та реалізації освітнього процесу в ХДУ реалізується з використанням алгоритмів роботи та матеріально-технічного забезпечення баз практик, які </w:t>
            </w:r>
            <w:r w:rsidRPr="00015418">
              <w:rPr>
                <w:rFonts w:ascii="Times New Roman" w:eastAsia="Times New Roman" w:hAnsi="Times New Roman" w:cs="Times New Roman"/>
                <w:sz w:val="24"/>
                <w:szCs w:val="24"/>
                <w:lang w:eastAsia="ru-RU"/>
              </w:rPr>
              <w:lastRenderedPageBreak/>
              <w:t xml:space="preserve">представлені безпосередніми роботодавцями. На цьому етапі відбувається і процес рекрутингу, коли здобувачам вищої освіти, які в процесі проходження практики проявили фахові компетенції, пропонується суміщати навчання у ЗВО та роботу з наступним працевлаштуванням. Активність роботодавців на цьому етапі обумовлюється їх бажанням долучити найбільш якісні робочі кадри до своєї команди. Роботодавці залучаються випусковими кафедрами до процедури зовнішнього рецензування. Так, до рецензування кваліфікаційних робіт на здобуття СВО «магістр» за ОПП «Біологія» та ОНП «Ботаніка», що мають захищатись у 2020-2021 навчальному році, планується запросити директора Національного природного парку «Нижньодніпровський» Чачібая О.Г. та директора Національного природного парку «Олешківські піски» Непрокіна А.В. Представники організацій, що є потенційними роботодавцями для випускників, залучаються до проведення підсумкової атестації здобувачів за ступенями вищої освіти «магістр». Так 2019, головою екзаменаційної комісії з атестації здобувачів ступеня вищої освіти «магістр» 091 Біологія (Ботаніка), була в.о. головного лікаря КУ «Херсонський обласний центр крові» Херсонської обласної ради Лагутіна Г.Г. (Наказ ХДУ від 07.03.2019 № 192-Д).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із посиланням на конкретні приклади, яким чином ЗВО залучає до аудиторних занять на ОП професіоналів-практиків, експертів галузі, представників роботодавців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ЗВО залучає до аудиторних занять на ОП професіоналів-практиків, експертів галузі, представників роботодавців. Конкретним прикладом є залучення до викладання дисциплін кафедри ботаніки Херсонського державного університету провідних фахівців, науковців та експертів у галузі созології та дослідження природи з природоохоронних науково-дослідних установ. Аудиторні заняття з дисципліни «Біогеографія» у студентів спеціальності 091 Біологія та 014 Середня освіта (біологія і здоров’я людини) проводить Наумович Г.О. - науковий співробітник НПП «Нижньодніпровський», ботанік і ліхенолог. Керівником навчально-польової практики з систематики нижчих рослин у студентів-біологів є Клименко В.М. – науковий співробітник НПП «Нижньодніпровський», фахівець з біоморфометрії та біоіндикації. Польові дослідження, передбачені практикою, проводяться території національного природного парку; під час екскурсій студенти наочно знайомляться з місцевою флорою і фауною, з рідкісними рослинами та тваринами.</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ЗВО сприяє професійному розвиткові викладачів ОП? Наведіть конкретні приклади такого сприяння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Підвищення кваліфікації відбувається за різними формами (інституційна (очна (денна, вечірня), заочна, дистанційна, мережева), дуальна, на робочому місці, на виробництві) та видами (стажування; навчання за програмою підвищення кваліфікації; участь у семінарах, практикумах, тренінгах, вебінарах тощо). Викладачі кафедри ботаніки постійно покращують професійний рівень. У 2018 р. проф. Ходосовцев О.Є., проф. Бойко М.Ф., викл. Клименко В.М. пройшли стажування в ХДАУ; проф. Мойсієнко І.І. стажувався на кафедрі соціально-економічної географії Стокгольмського університету. У 2019 р. доц. Карташова І.І. пройшла навчання за програмою </w:t>
            </w:r>
            <w:r w:rsidRPr="00015418">
              <w:rPr>
                <w:rFonts w:ascii="Times New Roman" w:eastAsia="Times New Roman" w:hAnsi="Times New Roman" w:cs="Times New Roman"/>
                <w:sz w:val="24"/>
                <w:szCs w:val="24"/>
                <w:lang w:eastAsia="ru-RU"/>
              </w:rPr>
              <w:lastRenderedPageBreak/>
              <w:t xml:space="preserve">«Основні вимоги ДСТУ ISO 9001:2015 «Системи управління якістю. Вимоги» при Держпідприємстві «Миколаївський науково-виробничий центр стандартизації, метрології та сертифікації». Викл. Наумович Г.О. взяла участь у семінарі «Seminar on Promotion of Blue Economic Development via ICM for Ukraine» (Фуцзяньський інститут океанографії, м. Сямень, Китайська Народна Республіка). Професійний розвиток викладачів здійснюється й через аспірантуру. На факультеті біології, географії і екології акредитована аспірантура з трьох спеціальностей, в тому числі 091 Біологія – для підготовки докторів філософії в галузі біологічних наук (кандидат наук).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що ЗВО стимулює розвиток викладацької майстерності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Розвиток викладацької майстерності в ХДУ стимулюється через систему заохочень. За досягнення високих результатів у роботі, навчанні, вихованні та науковій діяльності, за внесення ініціатив з науково-педагогічної, виховної, профорієнтаційної та інших видів робіт науково-педагогічні працівники представляються до нагородження різними видами морального і матеріального заохочення (держнагородами, почесними званнями, преміями, знаками, грамотами) (Колективний договір між ректором та профспілковим комітетом ХДУ на 2016 – 2020 рр) http://www.kspu.edu/Default.aspx З 1992 року при ХДУ функціонує аспірантура http://www.kspu.edu/About/DepartmentAndServices/DDoctorants.aspx. При випусковій кафедрі ботаніки в різні роки працювала аспірантура зі спеціальностей 03.00.05 Ботаніка, 03.00.26 Мікологія та 03.00.16 Екологія. У 2016 році на факультеті ліцензовано підготовку здобувачів третього (освітньо-наукового) рівня вищої освіти – докторів філософії PHD за спеціальністю 091 Біологія. Наразі на кафедрі ботаніки кваліфікацію доктора філософії здобувають 3 особи (Дармостук В.В., Харечко Н.В. – науковий керівник проф. Ходосовцев О.Є., Дайнеко П.М. – науковий керівник проф. Мойсієнко І.І.). </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7. Освітнє середовище та матеріальні ресурси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99"/>
        <w:gridCol w:w="10471"/>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яким чином фінансові та матеріально-технічні ресурси (бібліотека, інша інфраструктура, обладнання тощо), а також навчально-методичне забезпечення ОП забезпечують досягнення визначених ОП цілей та програмних результатів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Університет має сучасну матеріально-технічну базу: 6 навчальних корпусів; студмістечко (3 гуртожитки); наукову бібліотеку; 2 актові зали; 3 спортивні зали; плавальний басейн, навчальні майстерні; санаторій-профілакторій; Навчально-тренувальний центр із водних видів спорту; Агробіостанцію-Ботанічний сад; астрономічну обсерваторію; виставкову залу; музей історії університету; юридичну клініку; парк сільськогосподарської техніки; спортивно-оздоровчий табір «Буревісник», працює редакційно-видавничий відділ. Наукова бібліотека має чотири відділи: комплектування та наукової обробки документів; зберігання фондів; обслуговування читачів; інформаційно-бібліографічний. Обслуговування читачів здійснюється на 2-х абонементах та в 6 читальних залах на 371 посадкове місце, а також в галузевих кабінетах на факультетах. Комп’ютерна техніка (22 комп.), що знаходиться у Науковій бібліотеці, підключена до </w:t>
            </w:r>
            <w:r w:rsidRPr="00015418">
              <w:rPr>
                <w:rFonts w:ascii="Times New Roman" w:eastAsia="Times New Roman" w:hAnsi="Times New Roman" w:cs="Times New Roman"/>
                <w:sz w:val="24"/>
                <w:szCs w:val="24"/>
                <w:lang w:eastAsia="ru-RU"/>
              </w:rPr>
              <w:lastRenderedPageBreak/>
              <w:t xml:space="preserve">адміністративної мережі університету та Інтернету. Крім того, система WI-FI дозволяє працювати на території університету всім зареєстрованим користувачам. Кількість користувачів Інтернет в Науковій бібліотеці 6900. На сьогодні бібліотечний фонд становить 500107 примірників, а книгозабезпеченість навчального процесу відповідає ліцензійним вимогам. Навчання з усіх напрямів підготовки та спеціальностей забезпечують навчально-методичні розробки до освітнього процесу, навчальні та робочі навчальні плани, структурно-логічні схеми, оформлені з урахуванням вимог кредитно-трансферної системи.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яким чином освітнє середовище, створене у ЗВО, дозволяє задовольнити потреби та інтереси здобувачів вищої освіти ОП? Які заходи вживаються ЗВО задля виявлення і врахування цих потреб та інтересів?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Освітнє середовище спрямоване на всебічне задоволення потреб та інтересів здобувачів. Університет має 3 гуртожитки, центр первинної медичної допомоги, басейн, спортивні зали, актову та виставкову зали, кабінет-музей історії університету, видавництво, Український культурний центр, бібліотеку університету. Освітній процес здійснюється завдяки комплексу лабораторій (лабораторія систематики рослин, анатомії людини та тварин, молекулярної біології тощо ) та спецкабінетів (навчально-методичний кабінет ботаніки), матеріально-технічне обладнання яких забезпечує виконання навчального плану за ОПП «Біологія». Агробіостанція-Ботанічний сад ХДУ дає змогу студентам-біологам розвивати свої професійні навички. Практика проводиться на базах, серед яких освітні заклади Херсона, державні установи, заповідники тощо. З усіма базами практик укладено відповідні угоди. На території навчально-тренувального центру з водних видів спорту ХДУ проводиться практика, відбуваються навчання і спортивні змагання. На березі Чорного моря функціонує СОТ “Буревісник”, що використовується як база навчальної практики та місце відпочинку. Потреби студентів в харчуванні задовольняють студентські буфети, розташовані у всіх корпусах університету, та сучасна їдальня «Універ». ХДУ надає всім своїм студентам можливість роботи в локальній мережі комп'ютерних кабінетів з особистих мобільних комп'ютерів, що підключаються до мережі з використанням безпровідної технології Wi-Fi, яка працює цілодобово.</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ЗВО забезпечує безпечність освітнього середовища для життя та здоров’я здобувачів вищої освіти (включаючи психічне здоров’я)?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 метою організації заходів, спрямованих на забезпечення здорових і безпечних умов навчально-виховного процесу, в ХДУ створено Відділ охорони праці: http://www.kspu.edu/About/DepartmentAndServices/DLabourProtection.aspx Профком первинної профспілкової організації ХДУ (http://www.kspu.edu/About/ksuprimaryorganization.aspx) та представники органів студентського самоврядування розповсюджують серед учасників освітнього процесу путівки на санаторно-курортне лікування та оздоровлення у СОТ «Буревісник» (http://www.kspu.edu/About/burevisnik.aspx) ХДУ забезпечує проведення попередніх і періодичних медичних оглядів працівників та студентів з профілактичною метою. В університеті функціонує соціально-психологічна служба, що забезпечує психологічну підтримку учасників освітнього процесу. (http://www.kspu.edu/About/DepartmentAndServices/psychologicalservice.aspx) Для </w:t>
            </w:r>
            <w:r w:rsidRPr="00015418">
              <w:rPr>
                <w:rFonts w:ascii="Times New Roman" w:eastAsia="Times New Roman" w:hAnsi="Times New Roman" w:cs="Times New Roman"/>
                <w:sz w:val="24"/>
                <w:szCs w:val="24"/>
                <w:lang w:eastAsia="ru-RU"/>
              </w:rPr>
              <w:lastRenderedPageBreak/>
              <w:t xml:space="preserve">забезпечення безпеки та здоров’я здобувачів вищої освіти в університеті працює медичний центр первинної допомоги, осучаснений 2019 року, який має кабінет лікаря, маніпуляційний кабінет, денний стаціонар, кабінет діагностики та фізіотерапії. Херсонський державний університет створив максимально комфортні сервіси для забезпечення здорового способу життя студентів: сучасний спортивний майданчик, спортивна зала, сучасний басейн, їдальня. Спортивний клуб університету постійно проводить заходи, що спрямовані на популяризацію фізкультури, спорту, здорового способу життя. В університеті працюють секції з різних видів спорту.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механізми освітньої, організаційної, інформаційної, консультативної та соціальної підтримки здобувачів вищої освіти? Яким є рівень задоволеності здобувачів вищої освіти цією підтримкою відповідно до результатів опитувань?</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Освітня підтримка: Протягом впровадження в освітній процес ОПП «Біологія» здійснюється через формування здобувачами індивідуальної освітньої траєкторії, реалізацію студентоцентрованого підходу у викладанні навчальних дисциплін, забезпечення принципу академічної свободи та всебічне залучення студентів до науково-дослідної діяльності. Організаційна підтримка: Здійснюється через чіткість та зрозумілість розкладів занять та контрольних заходів, обґрунтованість та зрозумілість вимог до всіх видів робіт, що є складовими освітнього процесу. На факультеті біології, географії і екології діє студентська рада, до якої безпосередньо звертаються здобувачі у разі виникнення питань. Голова студради ФБГЕ входить до складу студентського парламенту, як і голова старостату, студентського наукового товариства. Студентський парламент вирішує нагальні питання з адміністрацією ЗВО. Для особистих звернень в холі університету (корпус №1) встановлено «Скриню довіри». На факультетах працюють особи, які виконують обов’язки заступників деканів з організаційно-виховної роботи (http://www.kspu.edu/About/Faculty/Faculty_of_biolog_geograf_ecol.aspx) Інформаційна підтримка: Здійснюється за допомогою дошок оголошень, новини ХДУ регулярно висвітлюються на сайті: http://www.kspu.edu/default.aspx?lang=uk Для оперативного надання інформації працює університетський телеграм-канал @ksu_talks. Студенти постійно отримують інформацію щодо стипендіальних програм, конкурсів через університетський телеграм-канал та деканати факультетів. Створений в університеті механізм інформаційної підтримки є ефективним. Консультативна підтримка: В залежності від ситуації, надається працівниками Соціально-психологічної служби (http://www.kspu.edu/About/DepartmentAndServices/psychologicalservice.aspx), Юридичної клініки (http://www.kspu.edu/About/Faculty/Faculty_of_Law/PublicLawConsulting.aspx), Юридичного відділу (http://www.kspu.edu/About/DepartmentAndServices/DLegal.aspx). Соціальна підтримка: В ХДУ проводиться робота щодо виплати стипендій студентам соціальних категорій (збір необхідних документів, передача до Дніпровської служби у справах дітей, внесення до єдиної бази тощо). На ФБГЕ соціальну стипендію отримують студенти за такими соціальними категоріями: діти-сироти та діти, позбавлені батьківського піклування ; постраждалі ЧАЕС; учасники бойових дій та діти </w:t>
            </w:r>
            <w:r w:rsidRPr="00015418">
              <w:rPr>
                <w:rFonts w:ascii="Times New Roman" w:eastAsia="Times New Roman" w:hAnsi="Times New Roman" w:cs="Times New Roman"/>
                <w:sz w:val="24"/>
                <w:szCs w:val="24"/>
                <w:lang w:eastAsia="ru-RU"/>
              </w:rPr>
              <w:lastRenderedPageBreak/>
              <w:t xml:space="preserve">учасників бойових дій ; діти, один з батьків яких загинув (пропав безвісті) або помер внаслідок поранення в АТО; діти-інваліди та особи з інвалідністю І-ІІІ групи; студенти із сімей, які отримують допомогу як малозабезпечені; внутрішньо переміщенні особи. Інформацію щодо законодавчої бази та порядку отримання соціальних стипендій студенти можуть отримати на сайті університету http://www.kspu.edu/About/DepartmentAndServices/DOrganizWorkStudent/stependii.aspx та у деканатах на факультетах. Первинна профспілкова організація студентів також допомагає здобувачам вищої освіти вирішувати соціальні питання.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 чином ЗВО створює достатні умови для реалізації права на освіту особами з особливими освітніми потребами? Наведіть посилання на конкретні приклади створення таких умов на ОП (якщо такі були)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Університет створює умови для забезпечення осіб з особливими освітніми потребами реалізувати право на навчання, в тому числі за ОПП «Біологія» (зазначається в Правилах прийому та реалізується в освітньому процесі). Університет співпрацює з представниками «Інваспорту», під час вступних випробувань призначає осіб, професійна підготовка яких надає право здійснювати спеціальний супровід вступників з інклюзіями (наприклад, наказ від 20.07.2018 № 589-Д про введення до складу приймальної комісії доцента кафедри соціальної роботи, соціальної педагогіки та соціології, кандидата педагогічних наук, відповідальну за супровід вступників інклюзивного простору Лопатко Л.А.). Зазначені особи здійснюють супровід вступників під час складання іспитів (у разі, якщо абітурієнти на складали ЗНО та скористались правом спеціальних умов вступу), надають професійну допомогу у спілкуванні, у створенні освітнього середовища, необхідного цим студентам – використання елементів дистанційного навчання, сурдопереклад, контроль за створенням умов для переміщення. Навчальні корпуси обладнані пандусами, головний 8-ми поверховий корпус має спеціальний підйомник та ліфти, що дозволяють піднімати інвалідні візочки, туалетна кімната має спеціальне приміщення для осіб з порушенням рухового апарату. Також для цих категорій студентів проводяться індивідуальні заняття-консультації в приміщенні на 1 поверсі.</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Яким чином у ЗВО визначено політику та процедури врегулювання конфліктних ситуацій (включаючи пов’язаних із сексуальними домаганнями, дискримінацією та корупцією)? Яким чином забезпечується їх доступність політики та процедур врегулювання для учасників освітнього процесу? Якою є </w:t>
            </w:r>
            <w:r w:rsidRPr="00015418">
              <w:rPr>
                <w:rFonts w:ascii="Times New Roman" w:eastAsia="Times New Roman" w:hAnsi="Times New Roman" w:cs="Times New Roman"/>
                <w:b/>
                <w:bCs/>
                <w:sz w:val="24"/>
                <w:szCs w:val="24"/>
                <w:lang w:eastAsia="ru-RU"/>
              </w:rPr>
              <w:lastRenderedPageBreak/>
              <w:t>практика їх застосування під час реалізації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Розгляд індивідуальних трудових спорів, що можуть виникнути в ХДУ, є обов’язком Комісії по трудових спорах (Колективний договір…, Додаток №16): http://www.kspu.edu/Default.aspx В університеті працює соціально-психологічна служба http://www.kspu.edu/About/DepartmentAndServices/psychologicalservice.aspx), юридичний відділ (http://www.kspu.edu/About/DepartmentAndServices/DLegal.aspx). Проводяться тренінги, просвітницькі зустрічі з представниками юстиції та відомими правниками, представниками громадських організацій міста, розповсюджується друкована продукція (буклети, інформаційні листівки тощо). В університеті працює юридична клініка з надання на безоплатній основі консультацій з правових питань (http://www.kspu.edu/About/Faculty/Faculty_of_Law/PublicLawConsulting.aspx),. На початку кожного навчального року науково-педагогічний склад та співробітники університету інформуються про </w:t>
            </w:r>
            <w:r w:rsidRPr="00015418">
              <w:rPr>
                <w:rFonts w:ascii="Times New Roman" w:eastAsia="Times New Roman" w:hAnsi="Times New Roman" w:cs="Times New Roman"/>
                <w:sz w:val="24"/>
                <w:szCs w:val="24"/>
                <w:lang w:eastAsia="ru-RU"/>
              </w:rPr>
              <w:lastRenderedPageBreak/>
              <w:t xml:space="preserve">недопустимість проявів корупції. З метою запобігання та виявлення корупції в Херсонському державному університеті введено посаду уповноваженої особи ректора з питань запобігання та виявлення корупції: http://www.kspu.edu/Anticorruption.aspx З будь-якими питаннями та проблемами студенти можуть зателефонувати на гарячу лінію або звернутися на електронну адресу-довіри anti.koruptsiya@ukr.net. </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8. Внутрішнє забезпечення якості освітньої програми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44"/>
        <w:gridCol w:w="12326"/>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документом ЗВО регулюються процедури розроблення, затвердження, моніторингу та періодичного перегляду ОП? Наведіть посилання на цей документ, оприлюднений у відкритому доступі в мережі Інтернет</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Розробка ОП проводиться відповідно до методичних рекомендацій, що розроблені фахівцями Національної академії педагогічних наук України, 2014. Окремі положення відображені у Положенні про внутрішню систему забезпечення якості освіти ХДУ (Затверджено Наказом ХДУ 06.12.2017 № 831-Д) в підрозділі «Планування освітньої діяльності: розробка, затвердження, моніторинг і періодичний перегляд освітніх програм», а також у Положенні про організацію освітнього процесу у ХДУ (Наказ ХДУ 25.09.2017 №610-Д), розділ ХІV: «Науково-методичне забезпечення освітнього процесу». Ці документи – на сторінці навчально-методичного відділу за посиланням: http://www.kspu.edu/About/DepartmentAndServices/DMethodics/EduProcess.aspx В ХДУ з метою регулювання прцедури розроблення, затвердження, моніторингу та періодичного перегляду ОП нещодавно створений відділ внутрішньої системи забезпечення якості вищої освіти http://www.kspu.edu/PublisherReader.aspx?newsId=10764</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та з якою періодичністю відбувається перегляд ОП? Які зміни були внесені до ОП за результатами останнього перегляду, чим вони були обґрунтовані?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Перегляд освітніх програм в ХДУ проводиться постійно (не менше ніж один раз у два роки) на основі моніторингу освітніх програм, який здійснюють факультети, випускові кафедри, представники органів студентського самоврядування факультету разом з навчальним та навчально-методичним відділами. За результатами такого спостереження та аналізу відбувається перегляд та коригування освітніх програм. Зміни до ОП «Біології» наразі не вносилися, оскільки дана освітня програма була розроблена нещодавно і проходить первинну акредитацію.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із посиланням на конкретні приклади, як здобувачі вищої освіти залучені до процесу періодичного перегляду ОП та інших процедур забезпечення її якості, а їх позиція береться до уваги під час перегляду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Здобувачі вищої освіти ХДУ залучені до участі у діяльності органів громадського самоврядування університету, вчених рад факультетів, Вченої ради університету, органів студентського самоврядування. Шляхом анкетування здобувачі висловлюють свою думку та пропозиції стосовно змісту ОП та процедур забезпечення її якості. Участь студентів у процедурах внутрішнього забезпечення якості ОП регламентована положенням «Внутрішня система забезпечення якості освіти Херсонського державного університету» (Наказом від «06» грудня 2017 р. № 831-Д) http://www.kspu.edu/About/DepartmentAndServices/DMethodics/EduProcess.aspx Однією з форм зворотного зв’язку у питанні підвищення якості освіти в ХДУ є вивчення думки студентів щодо якості викладання дисциплін за допомогою електронної програми «Feedback». Студенти мають можливість висловити свою думку стосовно педагогічних якостей викладачів університету, висловити свої побажання щодо вдосконалення освітнього процесу, обрати дисципліни вільного вибору студентів тощо. Активно залучаються студенти і до проведення моніторингу соціальних аспектів внутрішньої системи якості освіти.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 чином студентське самоврядування бере участь у процедурах внутрішнього забезпечення якості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Згідно з Положенням про студентське самоврядування ХДУ (http://www.kspu.edu/About/studparlament.aspx), органи студентського самоврядування мають право: </w:t>
            </w:r>
            <w:r w:rsidRPr="00015418">
              <w:rPr>
                <w:rFonts w:ascii="Times New Roman" w:eastAsia="Times New Roman" w:hAnsi="Times New Roman" w:cs="Times New Roman"/>
                <w:sz w:val="24"/>
                <w:szCs w:val="24"/>
                <w:lang w:eastAsia="ru-RU"/>
              </w:rPr>
              <w:sym w:font="Symbol" w:char="F02D"/>
            </w:r>
            <w:r w:rsidRPr="00015418">
              <w:rPr>
                <w:rFonts w:ascii="Times New Roman" w:eastAsia="Times New Roman" w:hAnsi="Times New Roman" w:cs="Times New Roman"/>
                <w:sz w:val="24"/>
                <w:szCs w:val="24"/>
                <w:lang w:eastAsia="ru-RU"/>
              </w:rPr>
              <w:t xml:space="preserve">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 </w:t>
            </w:r>
            <w:r w:rsidRPr="00015418">
              <w:rPr>
                <w:rFonts w:ascii="Times New Roman" w:eastAsia="Times New Roman" w:hAnsi="Times New Roman" w:cs="Times New Roman"/>
                <w:sz w:val="24"/>
                <w:szCs w:val="24"/>
                <w:lang w:eastAsia="ru-RU"/>
              </w:rPr>
              <w:sym w:font="Symbol" w:char="F02D"/>
            </w:r>
            <w:r w:rsidRPr="00015418">
              <w:rPr>
                <w:rFonts w:ascii="Times New Roman" w:eastAsia="Times New Roman" w:hAnsi="Times New Roman" w:cs="Times New Roman"/>
                <w:sz w:val="24"/>
                <w:szCs w:val="24"/>
                <w:lang w:eastAsia="ru-RU"/>
              </w:rPr>
              <w:t xml:space="preserve"> беруть участь у заходах (процесах) щодо забезпечення якості вищої освіти; </w:t>
            </w:r>
            <w:r w:rsidRPr="00015418">
              <w:rPr>
                <w:rFonts w:ascii="Times New Roman" w:eastAsia="Times New Roman" w:hAnsi="Times New Roman" w:cs="Times New Roman"/>
                <w:sz w:val="24"/>
                <w:szCs w:val="24"/>
                <w:lang w:eastAsia="ru-RU"/>
              </w:rPr>
              <w:sym w:font="Symbol" w:char="F02D"/>
            </w:r>
            <w:r w:rsidRPr="00015418">
              <w:rPr>
                <w:rFonts w:ascii="Times New Roman" w:eastAsia="Times New Roman" w:hAnsi="Times New Roman" w:cs="Times New Roman"/>
                <w:sz w:val="24"/>
                <w:szCs w:val="24"/>
                <w:lang w:eastAsia="ru-RU"/>
              </w:rPr>
              <w:t xml:space="preserve"> делегують своїх представників до робочих та дорадчих органів Університету; </w:t>
            </w:r>
            <w:r w:rsidRPr="00015418">
              <w:rPr>
                <w:rFonts w:ascii="Times New Roman" w:eastAsia="Times New Roman" w:hAnsi="Times New Roman" w:cs="Times New Roman"/>
                <w:sz w:val="24"/>
                <w:szCs w:val="24"/>
                <w:lang w:eastAsia="ru-RU"/>
              </w:rPr>
              <w:sym w:font="Symbol" w:char="F02D"/>
            </w:r>
            <w:r w:rsidRPr="00015418">
              <w:rPr>
                <w:rFonts w:ascii="Times New Roman" w:eastAsia="Times New Roman" w:hAnsi="Times New Roman" w:cs="Times New Roman"/>
                <w:sz w:val="24"/>
                <w:szCs w:val="24"/>
                <w:lang w:eastAsia="ru-RU"/>
              </w:rPr>
              <w:t xml:space="preserve"> вносять пропозиції щодо змісту навчальних планів і програм. Органи студентського самоврядування зобов’язані аналізувати та узагальнювати зауваження та пропозиції студентів щодо організації освітнього процесу і звертатися до адміністрації з пропозиціями щодо їх вирішення.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Продемонструйте, із посиланням на конкретні приклади, як роботодавці безпосередньо або через свої об’єднання залучені до процесу періодичного </w:t>
            </w:r>
            <w:r w:rsidRPr="00015418">
              <w:rPr>
                <w:rFonts w:ascii="Times New Roman" w:eastAsia="Times New Roman" w:hAnsi="Times New Roman" w:cs="Times New Roman"/>
                <w:b/>
                <w:bCs/>
                <w:sz w:val="24"/>
                <w:szCs w:val="24"/>
                <w:lang w:eastAsia="ru-RU"/>
              </w:rPr>
              <w:lastRenderedPageBreak/>
              <w:t>перегляду ОП та інших процедур забезпечення її якості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ХДУ тісно співпрацює з низкою підприємств області: Національними природними парками «Джарилгацький», «Кам’янська Січ», «Нижньодніпровський», «Олешківські піски»; біосферними заповідниками Асканія-Нова імені Ф.Е. Фальц-Фейна та Чорноморським; Департаментом екології ХОДА, Херсонським обласним управлінням лісового та мисливського господарства, компаніями «Нібулон», «Укрекоконсалт», «Атлас Кепітал Енерджи», «Екоменеджмент Групп». Крім того, дієвою формою урахування інтересів роботодавців за ОП «Біологія» є щорічне проведення дня відкритих дверей, круглих столів, які проводяться на базі ХДУ. Дієвим інструментом поліпшення ОП з боку роботодавців є запрошення їх до роботи в складі ДЕК. Ще одним вагомим важелем впливу на ОП є проходження практики студентами на підприємствах. Кожен студент отримує відгук від бази практики. Результати проходження практики враховуються при плануванні навчальної діяльності. Для реалізації ОП «Біологія» були залучені стейкхолдери, які надали відгуки: Лагутіна Г. Г. – в.о. головного лікаря Херсонського обласного центру служби крові; </w:t>
            </w:r>
            <w:r w:rsidRPr="00015418">
              <w:rPr>
                <w:rFonts w:ascii="Times New Roman" w:eastAsia="Times New Roman" w:hAnsi="Times New Roman" w:cs="Times New Roman"/>
                <w:sz w:val="24"/>
                <w:szCs w:val="24"/>
                <w:lang w:eastAsia="ru-RU"/>
              </w:rPr>
              <w:lastRenderedPageBreak/>
              <w:t xml:space="preserve">Овечко С. В. – кандидат біологічних наук, директор Херсонської гідробіологічної станції НАН України; Непрокін А. В. – директор Національного природного парку «Олешківські піски»; Ремига Л. Т. – головний лікар КНП «Херсонська міська клінічна лікарня імені Афанасія і Ольги Тропіних», заслужений лікар України (http://www.kspu.edu/About/Faculty/Faculty_of_biolog_geograf_ecol/ChairBotany/Osvitno_prof_progr_BOTANY.aspx).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практику збирання та врахування інформації щодо кар’єрного шляху та траєкторій працевлаштування випускників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 метою ефективної комунікації з випускниками в ХДУ створено сектор Сприянню працевлаштуванню студентів та випускників http://www.kspu.edu/About/DepartmentAndServices/DPractices.aspx Процес збирання інформації щодо кар’єрного росту випускників ОП «Біологія» проводиться шляхом їх опитування. У такий спосіб вони діляться власним досвідом працевлаштування та надають інформацію щодо практичного застосування знань і умінь, здобутих під час навчання. Одним з інструментів комунікації з випускниками є соціальні мережі. Зокрема, випускники є учасниками групи факультету біології, географії та екології в Фейсбук та Інстаграм. На сторінках спільноти часто обговорюються актуальні питання підготовки біологів. З метою оптимізації комунікації планується створити Міжнародну асоціацію випускників ХДУ, метою якої є: сприяння професійному зростанню випускників; створення умов для їх самореалізації у професійній діяльності, забезпечення умов для спілкування випускників, студентів і викладачів університету. Результати спілкування з випускниками враховуються в якості пропозицій при розробці та перегляді освітніх програм.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Які недоліки в ОП та/або освітній діяльності з реалізації ОП були виявлені у ході здійснення процедур внутрішнього забезпечення якості за час її реалізації? Яким чином система забезпечення якості ЗВО відреагувала на ці недоліки?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 метою підготовки, організації, супроводу і проведення освітньої діяльності у сфері вищої освіти відповідно до стандартів освітньої діяльності з підготовки здобувачів вищої освіти в Херсонському державному університеті нещодавно, шляхом реформування сектору, створено відділ внутрішньої системи забезпечення якості вищої освіти. Викладачі ХДУ різних спеціальностей наразі проходять підготовку в якості експертів з якості вищої освіти, що сприятиме покращенню обізнаності колективу університету в сфері сучасних вимог до якості освіти. Під час підготовки магістрів біологів в попередні роки було недостатньо враховано галузеві та міжнародні тенденції зростання практичної підготовки здобувачів. Тому під час розробки ОП «Біологія» було розширено практичну підготовку здобувачів. Обсяг практики збільшено до 12 тижнів (виробнича-асистентська – 8) та переддипломна (4), крім того практика перенесена в останній семестр, що дозволяє студентам, з одного боку, краще підготуватися до практики та, з іншого боку, більш якісно підготуватися до підсумкової атестації. Процедури щодо забезпечення якості освітньої діяльності за ОП «Біологія» проводяться: – на рівні кафедр – у вигляді контролю діяльності науково-педагогічних працівників, обговорення та прийняття рішень на засіданнях кафедр, проведення викладачами кафедри відкритих занять з метою участі у конкурсі (4 викладача за 2018-19 рр.); – на рівні факультету – у вигляді контролю діяльності кафедр, обговорення питань та прийняття рішень на засіданнях науково-методичної та вченої рад факультету біології, географії та екології, передбачено експертиза кваліфікаційних робіт СВО «магістр» (листопад, 2019 р.); – на рівні ЗВО – у вигляді контролю діяльності факультетів, обговорення питань та прийняття рішень на засіданнях науково-методичної та вченої рад ХДУ, інформація про викладачів, що беруть участь у конкурсі (feedback). http://www.kspu.edu/Search.aspx?q=feedback&amp;cx=003251756349530663694%3ag9ihf_8a_o8&amp;cof=FORID%3a10&amp;ie=UTF-</w:t>
            </w:r>
            <w:r w:rsidRPr="00015418">
              <w:rPr>
                <w:rFonts w:ascii="Times New Roman" w:eastAsia="Times New Roman" w:hAnsi="Times New Roman" w:cs="Times New Roman"/>
                <w:sz w:val="24"/>
                <w:szCs w:val="24"/>
                <w:lang w:eastAsia="ru-RU"/>
              </w:rPr>
              <w:lastRenderedPageBreak/>
              <w:t xml:space="preserve">8), створення рейтингу активності науково-педагогічних працівників за показниками, і як наслідок укладання контракту на 5 років, або 3 роки, або 1 рік. Моніторинг щодо виконання прийнятих рішень проводить навчально-методичний відділ, а в останній також відділ забезпечення якості освіти.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що результати зовнішнього забезпечення якості вищої освіти беруться до уваги під час удосконалення ОП. Яким чином зауваження та пропозиції з останньої акредитації та акредитацій інших ОП були ураховані під час удосконалення цієї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Результати зовнішнього забезпечення якості вищої освіти беруться до уваги під час удосконалення ОП. Наразі проводиться первинна акредитація ОП 091 Біологія, що не дає можливості продемонструвати це на цій конкретній програмі. Однак те, яким чином враховуються результати зовнішнього забезпечення якості вищої освіти наочно видно на прикладі інших програм. Відомості щодо виконання зауважень та пропозицій з останніх акредитацій містяться в експертних висновках, які розміщені на сайті ХДУ: http://www.kspu.edu/About/DepartmentAndServices/DMethodics/AccreditationAndLicensing.aspx Зауваження експертів практично повністю виконуються. Зокрема, в останній акредитаційний справі щодо акредитації ОНП «Ботаніка» спеціальності біологія містяться наступні відомості щодо виконання зауважень передостанньої акредитації: Зауваження: Продовжити роботу щодо поліпшення матеріально-технічної бази кафедри ботаніки Херсонського державного університету з метою підготовки фахівців спеціальності 8.04010208 Ботаніка у Херсонському державному університеті (зокрема, у частинах, що стосуються мікроклонального розмноження рослин та грибів та роботи з культурами грибів). Відповідь: Враховуючи перехід на освітньо-наукову програму підготовки фахівців та присвоєння кваліфікації «молодшого-наукового співробітника» було вирішено, що відкриття заочного відділення є недоцільним. Натомість, з метою забезпечення кадрами природоохоронних та науково-дослідних установ півдня України збільшено ліцензійний обсяг підготовки фахівців спеціальності з 10 осіб до 20 осіб. Зауваження: Продовжити роботу щодо поліпшення матеріально-технічної бази кафедри ботаніки Херсонського державного університету з метою підготовки фахівців спеціальності 8.04010208 Ботаніка у Херсонському державному університеті (зокрема, у частинах, що стосуються мікроклонального розмноження рослин та грибів та роботи з культурами грибів). Відповідь: Протягом останніх років для молекулярної лабораторії було закуплено обладнання на суму понад 500 тис гривень (перелік придбаного обладнання наведено в експертному висновку). Обладнання лабораторії дозволило створити колекцію культур грибів (частина з яких нові для науки) та розгорнути викладання дисципліни для магістрів «Методи культивування грибів». Зауваження: Продовжити роботу щодо введення в експлуатацію лабораторії молекулярно-таксономічного спрямування для підсилення предметно-практичної складової підготовки магістрів у відповідності до сучасних методів флористичних та таксономічних досліджень. Відповідь: Протягом 2018 року в рамках грантового фінансування було придбано обладнання на суму 352313 грн (перелік придбаного обладнання наведено в експертному висновку).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Опишіть, яким чином учасники академічної спільноти </w:t>
            </w:r>
            <w:r w:rsidRPr="00015418">
              <w:rPr>
                <w:rFonts w:ascii="Times New Roman" w:eastAsia="Times New Roman" w:hAnsi="Times New Roman" w:cs="Times New Roman"/>
                <w:b/>
                <w:bCs/>
                <w:sz w:val="24"/>
                <w:szCs w:val="24"/>
                <w:lang w:eastAsia="ru-RU"/>
              </w:rPr>
              <w:lastRenderedPageBreak/>
              <w:t>змістовно залучені до процедур внутрішнього забезпечення якості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ХДУ сприяє залученню учасників академічної спільноти до процедур внутрішнього забезпечення якості ОП. Процедури передбачають: ¬ здійснення моніторингу та періодичного перегляду освітніх програм із залучення представників підприємств, що є потенційними роботодавцями; ¬ оцінювання рівня підготовки здобувачів вищої освіти шляхом проведення вхідного контролю, проведення ректорських контрольних робіт тощо; ¬ оцінювання </w:t>
            </w:r>
            <w:r w:rsidRPr="00015418">
              <w:rPr>
                <w:rFonts w:ascii="Times New Roman" w:eastAsia="Times New Roman" w:hAnsi="Times New Roman" w:cs="Times New Roman"/>
                <w:sz w:val="24"/>
                <w:szCs w:val="24"/>
                <w:lang w:eastAsia="ru-RU"/>
              </w:rPr>
              <w:lastRenderedPageBreak/>
              <w:t xml:space="preserve">науково-педагогічних працівників на підставі комп’ютерного анкетування «KSU feedback»; - оцінювання науково-педагогічних працівників при працевлаштуванні та проходженні конкурсних процедур на основі наказу від 04.09.2018 № 673-Д «Про апробацію показників діяльності науково-педагогічних працівників університету». ¬ оцінювання освітньої та науково-технічної діяльності викладачів, кафедр і факультетів з використанням рейтингової системи http://publication.kspu.edu/rating/departments/ ; ¬ підвищення кваліфікації науково-педагогічних працівників; ¬ формування системи запобігання та виявлення плагіату при реалізації освітнього процесу підготовки здобувачів, проведення наукової діяльності; - студенти залучаються до виконання науково-дослідних тем кафедр; працюють у складі ініціативних науково-дослідних лабораторій; до проведення моніторингу соціальних аспектів внутрішньої системи якості (Положення про внутрішню систему забезпечення якості освіти ХДУ (Затверджено Наказом ХДУ 06.12.2017 № 831-Д) http://www.kspu.edu/About/DepartmentAndServices/DMethodics/EduProcess.aspx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Опишіть розподіл відповідальності між різними структурними підрозділами ЗВО у контексті здійснення процесів і процедур внутрішнього забезпечення якості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Процеси і процедури внутрішнього забезпечення якості освіти забезпечують: - відділ забезпечення якості освіти (створений рішенням вченої ради ХДУ від 28.10.2019 р.) (забезпечення ефективного функціонування внутрішньої системи забезпечення якості вищої освіти університету); - навчально-методичний відділ (аналіз і контроль навчально-методичного забезпечення освітнього процесу; координування діяльності НМР; організація спільної роботи з факультетами та кафедрами); - навчальний відділ (загальне керівництво, планування і контроль за освітнім процесом у ХДУ, надання факультетам організаційної й методичної допомоги в удосконаленні освітнього процесу, а також виконують інші доручення ректорату з питань організації і проведення освітнього процесу в ХДУ); - відділ з питань інтелектуальної власності (підвищення ефективності використання інтелектуального потенціалу, забезпечення сучасних методів управління діяльністю у сфері інтелектуальної власності, сприяння розвитку системи комерціалізації об’єктів права інтелектуальної власності у складі ХДУ); - відділ по роботі з обдарованою молоддю (створення сприятливих умов для результативної науково-дослідної діяльності науково-педагогічних працівників та обдарованої студентської молоді університету); - сектор сприяння працевлаштуванню студентів і випускників (сприяння працевлаштуванню студентів та випускників та підведення підсумків, аналіз роботи з питань працевлаштуванню студентів). </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9. Прозорість і публічність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gridCol w:w="12144"/>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 xml:space="preserve">Якими документами ЗВО регулюється права та обов’язки усіх учасників освітнього процесу? Яким чином забезпечується їх доступність для </w:t>
            </w:r>
            <w:r w:rsidRPr="00015418">
              <w:rPr>
                <w:rFonts w:ascii="Times New Roman" w:eastAsia="Times New Roman" w:hAnsi="Times New Roman" w:cs="Times New Roman"/>
                <w:b/>
                <w:bCs/>
                <w:sz w:val="24"/>
                <w:szCs w:val="24"/>
                <w:lang w:eastAsia="ru-RU"/>
              </w:rPr>
              <w:lastRenderedPageBreak/>
              <w:t>учасників освітнього процесу?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 xml:space="preserve">Права та обов’язки усіх учасників освітнього процесу ХДУ регулюються наступними документами. 1.Статут Херсонського державного університету (нова редакція) http://www.kspu.edu/About/StatuteKSU.aspx 2.Колективний договір на ……. http://www.kspu.edu/Default.aspx 3.Стратегічний план розвитку ХДУ на 2018-2023 рр. http://www.kspu.edu/Information/strategy.aspx 4.Правилами внутрішнього розпорядку. http://www.kspu.edu/Legislation/HouseRules.aspx 5.Положенням про структурні підрозділи університету усіх рівнів та спрямувань. http://www.kspu.edu/Information/structure.aspx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Наведіть посилання на веб-сторінку, яка містить інформацію про оприлюднення на офіційному веб-сайті ЗВО відповідного проекту з метою отримання зауважень та пропозиції заінтересованих сторін (стейкхолдерів). Адреса веб-сторінки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9" w:tgtFrame="_blank" w:history="1">
              <w:r w:rsidRPr="00015418">
                <w:rPr>
                  <w:rFonts w:ascii="Times New Roman" w:eastAsia="Times New Roman" w:hAnsi="Times New Roman" w:cs="Times New Roman"/>
                  <w:color w:val="0000FF"/>
                  <w:sz w:val="24"/>
                  <w:szCs w:val="24"/>
                  <w:u w:val="single"/>
                  <w:lang w:eastAsia="ru-RU"/>
                </w:rPr>
                <w:t>http://www.kspu.edu/</w:t>
              </w:r>
            </w:hyperlink>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Наведіть посилання на оприлюднену у відкритому доступі в мережі Інтернет інформацію про освітню програму (включаючи її цілі, очікувані результати навчання та компоненти)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0" w:tgtFrame="_blank" w:history="1">
              <w:r w:rsidRPr="00015418">
                <w:rPr>
                  <w:rFonts w:ascii="Times New Roman" w:eastAsia="Times New Roman" w:hAnsi="Times New Roman" w:cs="Times New Roman"/>
                  <w:color w:val="0000FF"/>
                  <w:sz w:val="24"/>
                  <w:szCs w:val="24"/>
                  <w:u w:val="single"/>
                  <w:lang w:eastAsia="ru-RU"/>
                </w:rPr>
                <w:t>http://www.kspu.edu/About/Faculty/Faculty_of_biolog_geograf_ecol/ChairBotany/Osvitno_prof_progr_BOTANY.aspx</w:t>
              </w:r>
            </w:hyperlink>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10. Навчання через дослідження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15"/>
        <w:gridCol w:w="155"/>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що зміст освітньо-наукової програми відповідає науковим інтересам аспірантів (ад’юнктів)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зміст освітньо-наукової програми забезпечує повноцінну підготовку здобувачів вищої освіти до дослідницької діяльності за спеціальністю та/або галуззю</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яким чином зміст освітньо-наукової програми забезпечує повноцінну підготовку здобувачів вищої освіти до викладацької діяльності у закладах вищої освіти за спеціальністю та/або галуззю</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Продемонструйте дотичність тем наукових досліджень аспірантів (ад’юнктів) напрямам досліджень наукових керівників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з посиланням на конкретні приклади, як ЗВО організаційно та матеріально забезпечує в межах освітньо-наукової програми можливості для проведення і апробації результатів наукових досліджень аспірантів (ад’юнктів)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Проаналізуйте, як ЗВО забезпечує можливості для долучення аспірантів (ад’юнктів) до міжнародної академічної спільноти за спеціальністю, наведіть конкретні проекти та заходи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участь наукових керівників аспірантів у дослідницьких проектах, результати яких регулярно публікуються та/або практично впроваджуються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Опишіть чинні практики дотримання академічної доброчесності у науковій діяльності наукових керівників та аспірантів (ад’юнктів)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Продемонструйте, що ЗВО вживає заходів для виключення можливості здійснення наукового керівництва особами, які вчинили порушення академічної доброчесності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11. Перспективи подальшого розвитку ОП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69"/>
        <w:gridCol w:w="9601"/>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Якими загалом є сильні та слабкі сторони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Ключові виклики, що стоять перед Херсонським державним університетом, які частково стосуються і ОП Біологія, були описані в документі: «Стратегічний план розвитку Херсонського державного університету на 2018- 2023 рр.: ключові показники ефективності, перспективний план розвитку за напрямами, перспективні плани розвитку факультетів: збірник документів / заг. ред. Н. Тюхтенко, С. Омельчука. – Херсон : Вид-во ХДУ, 2018. – 122 с.» за 5 напрямками: - якість освітнього процесу і модернізація програм; - наукова робота; - покращення іміджу університету і створення творчого соціогуманітарного середовища; - міжнародні контакти і партнерство; - фінансове забезпечення й розвиток інформаційно-комунікаційних технологій та матеріально-технічної бази. Головними проблемами, які стосуються освітніх програм і в тому числі ОП Біологія, в стратегічному плані вказані наступні (Розділ І. Якість освітнього процесу і модернізація програм): Попри те, що ХДУ надає освітні послуги за понад 50 різноманітними спеціальностями, є підстави стверджувати, що зміст освітніх програм певною мірою потребує оновлення. Свідченням цього є спад зацікавленості здобувачів освіти у відвідуванні навчальних занять, їхнє прагнення якомога раніше знайти роботу (на деяких факультетах понад 50% студентів працюють не за фахом ще до закінчення навчання в університеті). Помітні скарги здобувачів освіти на примушування їх до відвідування лекцій, які їм не цікаві. Існує запит на підвищення якості підготовки з англійської мови. Наявні нарікання студентів щодо якості освітнього процесу як суб’єктивного, так і об’єктивного характеру. Очевидними є необхідність системного підвищення кваліфікації науково-педагогічних працівників </w:t>
            </w:r>
            <w:r w:rsidRPr="00015418">
              <w:rPr>
                <w:rFonts w:ascii="Times New Roman" w:eastAsia="Times New Roman" w:hAnsi="Times New Roman" w:cs="Times New Roman"/>
                <w:sz w:val="24"/>
                <w:szCs w:val="24"/>
                <w:lang w:eastAsia="ru-RU"/>
              </w:rPr>
              <w:lastRenderedPageBreak/>
              <w:t xml:space="preserve">університету, досягнення ними кращого володіння англійською мовою, ознайомлення з академічними здобутками світового рівня у відповідних галузях. Потребують оптимізації процедури розроблення різноманітних положень, навчально-методичних комплексів, а також іншої документації, що регламентує організацію освітнього процесу. Безпосередньо до 091 Біологія можна віднести наступні недоліки: - потребує оптимізації матеріальна база, зокрема, в частині мікроскопічного обладнання; - необхідно ширше залучати студентство до міжнародного співробітництва; - потрібно активніше залучати студентів до наукової роботи, в тому числі, і на комерційній основі. Натомість перевагами ОП Біологія є її особливості: - регіональна направленість; - природоохоронний акцент; - молекулярно-біологічний аспект; - ліхенологічний та бріологічний уклін; - науково-дослідний аспект; - можливість подвійного дипломування. </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Якими є перспективи розвитку ОП упродовж найближчих 3 років? Які конкретні заходи ЗВО планує здійснити задля реалізації цих перспектив?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З метою поступального розвитку університету, в умовах численних викликів, в Херсонському державному університеті був розроблений та затверджений спеціальний документ: Стратегічний план розвитку Херсонського державного університету на 2018- 2023 рр.: ключові показники ефективності, перспективний план розвитку за напрямами, перспективні плани розвитку факультетів: збірник документів / заг. ред. Н. Тюхтенко, С. Омельчука. – Херсон : Вид-во ХДУ, 2018. – 122 с. Стратегічний план спрямовано на досягнення трьох ключових цілей: 1) підвищення якості освіти, що зробить навчання в університеті стабільно привабливим для здобувачів освіти; 2) створення мотиваційного середовища для розвитку освіти й науки університету; 3) покращення показників наукової роботи й досліджень, міжнародної діяльності та забезпечення академічної мобільності, зростання науково-педагогічного потенціалу з метою входження у двадцятку кращих університетів України. Стосовно розвитку університету в цілому, в тому числі і в частині ОП 091 Біологія, в стратегічному плані розвитку визначені наступні пріоритетні вектори: - Системне підвищення кваліфікації науково-педагогічних працівників, модернізація освітніх програм, побудова студентоцентрованого освітнього середовища. - Системне опанування всіма науково-педагогічними працівниками університету методологічних підходів провідних зарубіжних і вітчизняних наукових шкіл. Інтенсифікація наукових досліджень відповідно до галузевих пріоритетів, напрацювання технології оприлюднення їх в авторитетних англійськомовних наукових виданнях. - Усебічне й системне формування позитивної репутації університету, його просування на основі унікальних конкурентних переваг у сфері академічної якості та експертизи. - Забезпечення такої системи міжнародних зав’язків і партнерства, що призведе до покращення позицій ХДУ в </w:t>
            </w:r>
            <w:r w:rsidRPr="00015418">
              <w:rPr>
                <w:rFonts w:ascii="Times New Roman" w:eastAsia="Times New Roman" w:hAnsi="Times New Roman" w:cs="Times New Roman"/>
                <w:sz w:val="24"/>
                <w:szCs w:val="24"/>
                <w:lang w:eastAsia="ru-RU"/>
              </w:rPr>
              <w:lastRenderedPageBreak/>
              <w:t xml:space="preserve">загальноукраїнських та міжнародних рейтингах. - Забезпечення необхідних ресурсів для підтримання належного рівня безпеки, працездатності, навчання, наукової діяльності, фізичного і психоемоційного здоров’я здобувачів вищої освіти та працівників університету. Безпосередньо до ОП 091 Біологія на 2020-2022 рр. зазначені наступні конкретні заходи: - Оптимізація освітнього процесу із урахуванням потреб роботодавців; - Модернізація «Зоологічного музею ХДУ»; - Обладнання лабораторії «Екологія рослин, охорони довкілля та природокористування»; - Сертифікація журналів «Природничий альманах» та «Чорноморський ботанічний журнал» на категорію «Б»; - Обладнання навчальних лабораторій «Гістологія та цитологія» та «Мікробіологія»; - Відкриття нової навчально-наукової лабораторії нейробіології; - Сертифікація міжкафедральної лабораторії молекулярної біології; - Ліцензування освітньонаукової програми 091 Біологія (Лабораторна діагностика) другого (магістерського) рівня вищої освіти. </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Таблиця 1. Інформація про обов’язкові освітні компоненти ОП</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70"/>
      </w:tblGrid>
      <w:tr w:rsidR="00015418" w:rsidRPr="00015418" w:rsidTr="0001541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19"/>
              <w:gridCol w:w="1345"/>
              <w:gridCol w:w="3673"/>
              <w:gridCol w:w="6543"/>
            </w:tblGrid>
            <w:tr w:rsidR="00015418" w:rsidRP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Назва освітнього компонента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Вид компонента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Файли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Відомості щодо МТЗ*</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Основи наукової комунікації іноземними мовами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1" w:tgtFrame="_blank" w:history="1">
                    <w:r w:rsidRPr="00015418">
                      <w:rPr>
                        <w:rFonts w:ascii="Times New Roman" w:eastAsia="Times New Roman" w:hAnsi="Times New Roman" w:cs="Times New Roman"/>
                        <w:color w:val="0000FF"/>
                        <w:sz w:val="24"/>
                        <w:szCs w:val="24"/>
                        <w:u w:val="single"/>
                        <w:lang w:eastAsia="ru-RU"/>
                      </w:rPr>
                      <w:t>Основи наук_ком_іноз_мов.pdf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Підготовка до атестації та атестація здобувачів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атестація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2" w:tgtFrame="_blank" w:history="1">
                    <w:r w:rsidRPr="00015418">
                      <w:rPr>
                        <w:rFonts w:ascii="Times New Roman" w:eastAsia="Times New Roman" w:hAnsi="Times New Roman" w:cs="Times New Roman"/>
                        <w:color w:val="0000FF"/>
                        <w:sz w:val="24"/>
                        <w:szCs w:val="24"/>
                        <w:u w:val="single"/>
                        <w:lang w:eastAsia="ru-RU"/>
                      </w:rPr>
                      <w:t>Програма атестації маг 091 Біологія 2019_20 (1).pdf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 ноутбук Dell Inspiron 3567 (1 шт., 2018р.), принтер Canon PIXMA G3410/3411 (1 шт., 2018р.)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Виробнича практика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практика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3" w:tgtFrame="_blank" w:history="1">
                    <w:r w:rsidRPr="00015418">
                      <w:rPr>
                        <w:rFonts w:ascii="Times New Roman" w:eastAsia="Times New Roman" w:hAnsi="Times New Roman" w:cs="Times New Roman"/>
                        <w:color w:val="0000FF"/>
                        <w:sz w:val="24"/>
                        <w:szCs w:val="24"/>
                        <w:u w:val="single"/>
                        <w:lang w:eastAsia="ru-RU"/>
                      </w:rPr>
                      <w:t>091 Біологія Виробнича асистентська практика.pdf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 ноутбук Dell Inspiron 3567 (1 шт., 2018р.), принтер Canon PIXMA G3410/3411 (1 шт., 2018р.)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Методика викладання фахових біологічних дисциплін у закладі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4" w:tgtFrame="_blank" w:history="1">
                    <w:r w:rsidRPr="00015418">
                      <w:rPr>
                        <w:rFonts w:ascii="Times New Roman" w:eastAsia="Times New Roman" w:hAnsi="Times New Roman" w:cs="Times New Roman"/>
                        <w:color w:val="0000FF"/>
                        <w:sz w:val="24"/>
                        <w:szCs w:val="24"/>
                        <w:u w:val="single"/>
                        <w:lang w:eastAsia="ru-RU"/>
                      </w:rPr>
                      <w:t>Метод_викл_фах_біол_дисц.pdf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Педагогіка і психологія вищої школи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5" w:tgtFrame="_blank" w:history="1">
                    <w:r w:rsidRPr="00015418">
                      <w:rPr>
                        <w:rFonts w:ascii="Times New Roman" w:eastAsia="Times New Roman" w:hAnsi="Times New Roman" w:cs="Times New Roman"/>
                        <w:color w:val="0000FF"/>
                        <w:sz w:val="24"/>
                        <w:szCs w:val="24"/>
                        <w:u w:val="single"/>
                        <w:lang w:eastAsia="ru-RU"/>
                      </w:rPr>
                      <w:t>Педагогіка та психологія ВШ.pdf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Проектор Epson EB-S41 (4 шт), виробник Китай, 2018: Екран Logan PRMC3 настінний (4 шт), виробник Китай, 2018</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Експериментальна фізіологія організму людини і тварин</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6" w:tgtFrame="_blank" w:history="1">
                    <w:r w:rsidRPr="00015418">
                      <w:rPr>
                        <w:rFonts w:ascii="Times New Roman" w:eastAsia="Times New Roman" w:hAnsi="Times New Roman" w:cs="Times New Roman"/>
                        <w:color w:val="0000FF"/>
                        <w:sz w:val="24"/>
                        <w:szCs w:val="24"/>
                        <w:u w:val="single"/>
                        <w:lang w:eastAsia="ru-RU"/>
                      </w:rPr>
                      <w:t>Експерим_фізіологія.pdf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Комплекс Комп’ютерний вимірювальний «ІТМ лабораторія» (мілідинанометр 300мН-1шт; мілівольтметр 500мВ-1шт; мілівольтметр 25мВ-1шт; вольтметр 2,5В-1шт; лічильник крапель-1шт, виробник НВЛ ІТМ, Україна, м. Харків, 2017; Спектрофотометр ULAB 102UV, виробник ElectronicInс., КНР; - Імуноферментний аналізатор HTI ImmunoChem-2100, виробник НТІ, США, 2017.</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Адаптогенез у біологічних системах</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7" w:tgtFrame="_blank" w:history="1">
                    <w:r w:rsidRPr="00015418">
                      <w:rPr>
                        <w:rFonts w:ascii="Times New Roman" w:eastAsia="Times New Roman" w:hAnsi="Times New Roman" w:cs="Times New Roman"/>
                        <w:color w:val="0000FF"/>
                        <w:sz w:val="24"/>
                        <w:szCs w:val="24"/>
                        <w:u w:val="single"/>
                        <w:lang w:eastAsia="ru-RU"/>
                      </w:rPr>
                      <w:t>Адаптогенез в біолог_сист.pdf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Проектор NEC NP – V 260; (1 шт), виробник Китай, 2012 проектор BENQ M 5502 (1 шт). виробник Китай, 2013 Екран Logan PRMC3 настінний (4 шт), виробник Китай, 2018</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Макроеволюція органічного світу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8" w:tgtFrame="_blank" w:history="1">
                    <w:r w:rsidRPr="00015418">
                      <w:rPr>
                        <w:rFonts w:ascii="Times New Roman" w:eastAsia="Times New Roman" w:hAnsi="Times New Roman" w:cs="Times New Roman"/>
                        <w:color w:val="0000FF"/>
                        <w:sz w:val="24"/>
                        <w:szCs w:val="24"/>
                        <w:u w:val="single"/>
                        <w:lang w:eastAsia="ru-RU"/>
                      </w:rPr>
                      <w:t>Макроеволюція.pdf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Філософія та методологія науки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дисципліна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hyperlink r:id="rId19" w:tgtFrame="_blank" w:history="1">
                    <w:r w:rsidRPr="00015418">
                      <w:rPr>
                        <w:rFonts w:ascii="Times New Roman" w:eastAsia="Times New Roman" w:hAnsi="Times New Roman" w:cs="Times New Roman"/>
                        <w:color w:val="0000FF"/>
                        <w:sz w:val="24"/>
                        <w:szCs w:val="24"/>
                        <w:u w:val="single"/>
                        <w:lang w:eastAsia="ru-RU"/>
                      </w:rPr>
                      <w:t>Філософ_і_методол_науки виправлена.pdf</w:t>
                    </w:r>
                  </w:hyperlink>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Мультимедійний комплекс: проектор ламповий Epson EB-S41 (V11H842040) (1шт, 2018р.), екран настінний Logan PRMC3 (1шт, 2018р.)</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Таблиця 2. Зведена інформація про викладачів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70"/>
      </w:tblGrid>
      <w:tr w:rsidR="00015418" w:rsidRPr="00015418" w:rsidTr="0001541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9"/>
              <w:gridCol w:w="2083"/>
              <w:gridCol w:w="2110"/>
              <w:gridCol w:w="2672"/>
              <w:gridCol w:w="5836"/>
            </w:tblGrid>
            <w:tr w:rsidR="00015418" w:rsidRP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ПІБ викладача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Посада викладача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Чи входить у групу забезпечення відповідної спеціальності?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Навчальні дисципліни, що їх викладає викладач на ОП</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Обґрунтування</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Ходосовцев Олександр Євгенович</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Професор, який має вчене звання професора, науковий ступінь доктора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Так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Макроеволюція органічного світу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Доктор біологічних наук, 03.00.05 – ботаніка, 03.00.21 – мікологія (ДД №003962 від 10.11.2004 р.) Професор кафедри ботаніки (02ПР №004178 від 16.02.2006 р.), “Лишайники кам’янистих відслонень Кримського півострова”</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Слюсаренко Ніна Віталіївна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Професор, який має вчене звання професора, </w:t>
                  </w:r>
                  <w:r w:rsidRPr="00015418">
                    <w:rPr>
                      <w:rFonts w:ascii="Times New Roman" w:eastAsia="Times New Roman" w:hAnsi="Times New Roman" w:cs="Times New Roman"/>
                      <w:sz w:val="24"/>
                      <w:szCs w:val="24"/>
                      <w:lang w:eastAsia="ru-RU"/>
                    </w:rPr>
                    <w:lastRenderedPageBreak/>
                    <w:t>науковий ступінь доктора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Педагогіка і психологія вищої школи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Кандидат педагогічних наук, 13.00.02 – теорія та методика трудового навчання, № диплома ДК № 012389 2001 р. Тема дисертації: «Розвиток творчих </w:t>
                  </w:r>
                  <w:r w:rsidRPr="00015418">
                    <w:rPr>
                      <w:rFonts w:ascii="Times New Roman" w:eastAsia="Times New Roman" w:hAnsi="Times New Roman" w:cs="Times New Roman"/>
                      <w:sz w:val="24"/>
                      <w:szCs w:val="24"/>
                      <w:lang w:eastAsia="ru-RU"/>
                    </w:rPr>
                    <w:lastRenderedPageBreak/>
                    <w:t>здібностей учнів 5-9 класів на уроках обслуговуючої праці засобами ігрової діяльності» доцент кафедри педагогіки і психології, № атестата ДЦ №007676 2003р. Доктор педагогічних наук 13.00.02 – теорія та методика трудового навчання, ДД № 008601, 6.10.2010 р. Тема дисертації «Теорія і практика трудової підготовки дівчат у школах України (кінець ХІХ – ХХ століття). професор кафедри педагогіки і психології, Атестат 12 ПР№007906 від 17.05.12.р.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Воробйова Алла Вікторівна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Доцент, яка не має вченого звання доцента, кандидат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Основи наукової комунікації іноземними мовами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Кандидат педагогічних наук, доцент кафедри практики іноземних мов. Херсонський державний університет, 2013 р., 13.00.02 – теорія та методика навчання (російська мова): «Формування риторичних умінь учнів основної школи на уроках російської мови у школах з російської мовою навчання» ДК № 016231</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Поліщук Ірина Євгенівна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Завідувач кафедри, який має вчене звання доцента, науковий ступінь кандидата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Філософія та методологія науки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Кандидат філософських наук. Діалектичний та історичний матеріалізм 09.00.01. ФС № 010468, 30.05.1990 рік Харківський державний університет Тема дисертації: Естетичне в способі життя. Доцент, ДЦ № 003672, 13.01.1993 рік, кафедра Історії Вітчизни та філософії Херсонський сільськогосподарський інститут</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Карташова Ірина Іванівна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Доцент, який має вчене звання доцента, науковий ступінь кандидата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Методика викладання фахових біологічних дисциплін у закладі вищої освіти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Кандидат педагогічних наук, 13.00.01 – теорія та історія педагогіки (ДК №004360 від 13.10.1999 р.) Доцент кафедри зоології (№005343 від 20.06.2002 р.) «Організаційно-педагогічні засади навчання слухачів факультету довузівської підготовки (на матеріалі природничого циклу)»</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Гайдай Микола Іванович</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Доцент, який має вчене звання доцента, науковий </w:t>
                  </w:r>
                  <w:r w:rsidRPr="00015418">
                    <w:rPr>
                      <w:rFonts w:ascii="Times New Roman" w:eastAsia="Times New Roman" w:hAnsi="Times New Roman" w:cs="Times New Roman"/>
                      <w:sz w:val="24"/>
                      <w:szCs w:val="24"/>
                      <w:lang w:eastAsia="ru-RU"/>
                    </w:rPr>
                    <w:lastRenderedPageBreak/>
                    <w:t>ступінь кандидата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Адаптогенез у біологічних системах</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xml:space="preserve">Кандидат медичних наук за спеціальністю 03.00.13.- Фізіологія людини і тварин Диплом МД №013971 від 23.02.1982 р Інститут фізіології імені А.А. Богомольця АН УРСР, м. Київ «Конвергенция ретикуло-, </w:t>
                  </w:r>
                  <w:r w:rsidRPr="00015418">
                    <w:rPr>
                      <w:rFonts w:ascii="Times New Roman" w:eastAsia="Times New Roman" w:hAnsi="Times New Roman" w:cs="Times New Roman"/>
                      <w:sz w:val="24"/>
                      <w:szCs w:val="24"/>
                      <w:lang w:eastAsia="ru-RU"/>
                    </w:rPr>
                    <w:lastRenderedPageBreak/>
                    <w:t>вестибуло- и руброспинальных влияний на нейронных элементах шейного отдела спинного мозга кошки». Доцент кафедри анатомії і фізіології людини і тварин Атестат - ДЦ № 019578 від 22.02.1990 р.</w:t>
                  </w:r>
                </w:p>
              </w:tc>
            </w:tr>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Головченко Ігор Валентинович</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Доцент, який не має вченого звання доцента, кандидат наук</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Експериментальна фізіологія організму людини і тварин</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Кандидат біологічних наук за спеціальністю 03.00.13 – фізіологія людини і тварин; Диплом ДК №014526 від 31.05.2013 р., Херсонський державний університет Дисертація: «Електрофізіологічні та гемодинамічні особливості головного мозку дітей 8-12 років з порушенням рухової активності центрального походження», 2013 р.</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Таблиця 3. Матриця відповідності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70"/>
      </w:tblGrid>
      <w:tr w:rsidR="00015418" w:rsidRPr="00015418" w:rsidTr="00015418">
        <w:trPr>
          <w:tblCellSpacing w:w="15" w:type="dxa"/>
        </w:trPr>
        <w:tc>
          <w:tcPr>
            <w:tcW w:w="0" w:type="auto"/>
            <w:vAlign w:val="center"/>
            <w:hideMark/>
          </w:tcPr>
          <w:p w:rsidR="00015418" w:rsidRPr="00015418" w:rsidRDefault="00015418" w:rsidP="00015418">
            <w:pPr>
              <w:spacing w:before="100" w:beforeAutospacing="1" w:after="100" w:afterAutospacing="1" w:line="240" w:lineRule="auto"/>
              <w:outlineLvl w:val="3"/>
              <w:divId w:val="363292566"/>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Основи наукової комунікації іноземними мовами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6679"/>
              <w:gridCol w:w="5986"/>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ПРН4, ПРН6, ПРН10, ПРН11,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(пояснення, бесіда, розповідь), наочно-словесні (спостереження, ілюстрація, демонстрація); репродуктивні практичні (вправи), проблемні та частково-пошукові, в т.ч. інтерактивні («внутрішні/зовнішні кола», «мозковий штурм», обмін думками, парні інтервʼю, робота в малих групах, ситуативне моделювання, проектна робота)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Диференційований залік Одномовний (безперекладний) та двомовний (перекладний) усний (презентація, доповідь, діалог), Одномовний (безперекладний) та двомовний (перекладний) письмовий (контрольні роботи, диктанти, реферати, анотації до статей), тестовий контроль</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Підготовка до атестації та атестація здобувачів вищої освіти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86"/>
              <w:gridCol w:w="4848"/>
              <w:gridCol w:w="4346"/>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ПРН3, ПРН4, ПРН5, ПРН6, ПРН7, ПРН8, ПРН9, ПРН10, ПРН11, ПРН12, ПРН13, ПРН14, ПРН15,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репродуктивні, проблемний виклад, частково-пошуковий, дослідницький</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Письмовий (комплексний модульний екзамен), усний (захист кваліфікаційної роботи)</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Виробнича практика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92"/>
              <w:gridCol w:w="6712"/>
              <w:gridCol w:w="4476"/>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ПРН3, ПРН4, ПРН5, ПРН6, ПРН7, ПРН8, ПРН9, ПРН10, ПРН11, ПРН12, ПРН13, ПРН14, ПРН15,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(пояснення, бесіда), наочні (демонстрація), репродуктивні практичні (виконання завдань алгоритмічного характеру), частково-пошукові (підготовка до проведення навчальних занять), дослідницькі (виконання завдань науково-дослідного характеру)</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Диференційований залік Практичний (провдедення занять, виконання завдань за алгоритмом), письмовий (складання звіту), усний (захист звіту)</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Методика викладання фахових біологічних дисциплін у закладі вищої освіти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1"/>
              <w:gridCol w:w="6866"/>
              <w:gridCol w:w="5313"/>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ПРН3, ПРН4, ПРН6, ПРН7, ПРН8, ПРН10, ПРН15,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(лекція, пояснення, бесіда), наочні (ілюстрація, демонстрація); проблемний (постановка та обговорення проблемних питань), частково-пошуковий (виконання творчих завдань, ситуативне моделювання) інтерактивні (робота в малих групах, кейс-методики, мозковий штурм)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Диференційований залік Усний (опитування, бесіда), практичний (імітація проведення навчального заняття) письмовий (розробка складових методичного забезпечення дисципліни), тестовий контроль</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Педагогіка і психологія вищої школи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2"/>
              <w:gridCol w:w="7809"/>
              <w:gridCol w:w="4169"/>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ПРН3, ПРН4, ПРН6, ПРН7,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(лекція, пояснення), наочні (ілюстрація); проблемний виклад, евристичний метод (опрацювання дискусійних питань на семінарських заняттях, робота в групах)</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Екзамен Усний (опитування), письмовий (контрольні роботи, реферати), тестовий контроль</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Експериментальна фізіологія організму людини і тварин</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2"/>
              <w:gridCol w:w="7675"/>
              <w:gridCol w:w="4013"/>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ПРН2, ПРН3, ПРН4, ПРН5, ПРН6, ПРН7, ПРН8, ПРН9, ПРН10, ПРН13, ПРН15,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(лекція, пояснення), наочні (ілюстрація, демонстрація); проблемний та частково-пошуковий практичний (спостереження, опрацювання дискусійних питань, ситуаційне моделювання, лабораторна робота в малих групах), дослідницький (лабораторний експеримент)</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Диференційований залік Усний (опитування), практичний (виконання фізіологічного досліду), тестовий контроль</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Адаптогенез у біологічних системах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31"/>
              <w:gridCol w:w="8171"/>
              <w:gridCol w:w="3178"/>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ПРН2, ПРН3, ПРН4, ПРН5, ПРН6, ПРН8, ПРН9, ПРН11, ПРН12, ПРН13, ПРН15, ПРН16</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(лекція, пояснення), наочні (ілюстрація, демонстрація); проблемний та частково-пошуковий практичний (спостереження, опрацювання дискусійних питань, лабораторна робота в малих групах), дослідницький (лабораторний експеримент)</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Диференційований залік Усний (опитування), тестовий контроль</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Макроеволюція органічного світу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6"/>
              <w:gridCol w:w="8659"/>
              <w:gridCol w:w="3485"/>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ПРН3, ПРН4, ПРН8, ПРН10, ПРН15</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(лекція, пояснення, бесіда, розповідь), наочні (ілюстрація, демонстрація); проблемний виклад, частково-пошукові методи, в т.ч. інтерактивні (робота в малих групах, «мозковий штурм», ситуативне моделювання, дискусія)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Екзамен Усний (опитування, бесіда), письмовий (контрольні роботи, ессе), тестовий</w:t>
                  </w:r>
                </w:p>
              </w:tc>
            </w:tr>
          </w:tbl>
          <w:p w:rsidR="00015418" w:rsidRPr="00015418" w:rsidRDefault="00015418" w:rsidP="00015418">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Філософія та методологія науки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2"/>
              <w:gridCol w:w="7387"/>
              <w:gridCol w:w="4741"/>
            </w:tblGrid>
            <w:tr w:rsidR="00015418" w:rsidRPr="00015418" w:rsidTr="00015418">
              <w:trPr>
                <w:tblHeade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Програмні результати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Методи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Форми оцінювання</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ПРН1, ПРН2, ПРН3, ПРН6, ПРН8, ПРН9, ПРН13</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Інформаційно-рецепцивні: словесні (лекція, пояснення), наочні (ілюстрація); проблемний виклад, евристичний метод (опрацювання дискусійних питань на семінарських заняттях, робота в групах, дискусія)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Диференційований залік Усний (опитування), письмовий (контрольні роботи, реферати), тестовий контроль</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lastRenderedPageBreak/>
        <w:t>Загальна інформація про заклад</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68"/>
        <w:gridCol w:w="5783"/>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Кількість ліцензованих спеціальностей</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3"/>
              <w:gridCol w:w="31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1 (бакалаврським) рівнем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54</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3"/>
              <w:gridCol w:w="31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2 (магістерським) рівнем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42</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18"/>
              <w:gridCol w:w="31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3 (освітньо-науковим/ освітньо-творчим) рівнем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14</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Кількість акредитованих освітніх програм</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3"/>
              <w:gridCol w:w="31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1 (бакалаврським) рівнем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34</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3"/>
              <w:gridCol w:w="31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2 (магістерським) рівнем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37</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78"/>
              <w:gridCol w:w="19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 3 (освітньо-науковим / освітньо-творчим) рівнем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Контингент студентів на всіх курсах навчання</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73"/>
              <w:gridCol w:w="55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На денній формі навчання</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3763</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53"/>
              <w:gridCol w:w="55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На інших формах навчання (заочна, дистанційна)</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1951</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Кількість факультетів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Кількість кафедр</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Кількість співробітників (всього)</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3"/>
              <w:gridCol w:w="43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в т.ч. педагогічних</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421</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86"/>
              <w:gridCol w:w="31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Серед них: - докторів наук, професорів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58</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73"/>
              <w:gridCol w:w="43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кандидатів наук, доцентів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276</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lastRenderedPageBreak/>
              <w:t>Загальна площа будівель, кв. м</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4"/>
              <w:gridCol w:w="15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Серед них:</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2"/>
              <w:gridCol w:w="67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власні приміщення (кв. 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68735</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19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орендовані (кв. 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6"/>
              <w:gridCol w:w="55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здані в оренду (кв. 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3249</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Навчальна площа будівель, кв. м</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4"/>
              <w:gridCol w:w="15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Серед них:</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92"/>
              <w:gridCol w:w="67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власні приміщення (кв. 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46016</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69"/>
              <w:gridCol w:w="19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орендовані (кв. 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6"/>
              <w:gridCol w:w="19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 здані в оренду (кв. м)</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0</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Бібліотеки</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6"/>
              <w:gridCol w:w="43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Кількість місць у читальному залі</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371</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Гуртожитки</w:t>
            </w: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19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Кількість гуртожитків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3</w:t>
                  </w:r>
                </w:p>
              </w:tc>
            </w:tr>
          </w:tbl>
          <w:p w:rsidR="00015418" w:rsidRPr="00015418" w:rsidRDefault="00015418" w:rsidP="00015418">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71"/>
              <w:gridCol w:w="555"/>
            </w:tblGrid>
            <w:tr w:rsidR="00015418" w:rsidRPr="00015418">
              <w:trPr>
                <w:tblCellSpacing w:w="15" w:type="dxa"/>
              </w:trPr>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кількість місць для проживання студентів</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1547</w:t>
                  </w: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p>
        </w:tc>
      </w:tr>
    </w:tbl>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Запевнення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26"/>
        <w:gridCol w:w="4463"/>
      </w:tblGrid>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Керівник ЗВО</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Співаковський Олександр Володимирович</w:t>
            </w:r>
          </w:p>
        </w:tc>
      </w:tr>
      <w:tr w:rsidR="00015418" w:rsidRPr="00015418" w:rsidTr="00015418">
        <w:trPr>
          <w:tblCellSpacing w:w="15" w:type="dxa"/>
        </w:trPr>
        <w:tc>
          <w:tcPr>
            <w:tcW w:w="0" w:type="auto"/>
            <w:vAlign w:val="center"/>
            <w:hideMark/>
          </w:tcPr>
          <w:p w:rsidR="00015418" w:rsidRPr="00015418" w:rsidRDefault="00015418" w:rsidP="00015418">
            <w:pPr>
              <w:spacing w:after="0" w:line="240" w:lineRule="auto"/>
              <w:jc w:val="center"/>
              <w:rPr>
                <w:rFonts w:ascii="Times New Roman" w:eastAsia="Times New Roman" w:hAnsi="Times New Roman" w:cs="Times New Roman"/>
                <w:b/>
                <w:bCs/>
                <w:sz w:val="24"/>
                <w:szCs w:val="24"/>
                <w:lang w:eastAsia="ru-RU"/>
              </w:rPr>
            </w:pPr>
            <w:r w:rsidRPr="00015418">
              <w:rPr>
                <w:rFonts w:ascii="Times New Roman" w:eastAsia="Times New Roman" w:hAnsi="Times New Roman" w:cs="Times New Roman"/>
                <w:b/>
                <w:bCs/>
                <w:sz w:val="24"/>
                <w:szCs w:val="24"/>
                <w:lang w:eastAsia="ru-RU"/>
              </w:rPr>
              <w:t>Гарант освітньої програми</w:t>
            </w:r>
          </w:p>
        </w:tc>
        <w:tc>
          <w:tcPr>
            <w:tcW w:w="0" w:type="auto"/>
            <w:vAlign w:val="center"/>
            <w:hideMark/>
          </w:tcPr>
          <w:p w:rsidR="00015418" w:rsidRPr="00015418" w:rsidRDefault="00015418" w:rsidP="00015418">
            <w:pPr>
              <w:spacing w:after="0" w:line="240" w:lineRule="auto"/>
              <w:rPr>
                <w:rFonts w:ascii="Times New Roman" w:eastAsia="Times New Roman" w:hAnsi="Times New Roman" w:cs="Times New Roman"/>
                <w:sz w:val="24"/>
                <w:szCs w:val="24"/>
                <w:lang w:eastAsia="ru-RU"/>
              </w:rPr>
            </w:pPr>
            <w:r w:rsidRPr="00015418">
              <w:rPr>
                <w:rFonts w:ascii="Times New Roman" w:eastAsia="Times New Roman" w:hAnsi="Times New Roman" w:cs="Times New Roman"/>
                <w:sz w:val="24"/>
                <w:szCs w:val="24"/>
                <w:lang w:eastAsia="ru-RU"/>
              </w:rPr>
              <w:t>Мельник Руслана</w:t>
            </w:r>
          </w:p>
        </w:tc>
      </w:tr>
    </w:tbl>
    <w:p w:rsidR="00C7449B" w:rsidRDefault="00C7449B">
      <w:bookmarkStart w:id="0" w:name="_GoBack"/>
      <w:bookmarkEnd w:id="0"/>
    </w:p>
    <w:sectPr w:rsidR="00C7449B" w:rsidSect="0001541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831"/>
    <w:rsid w:val="00015418"/>
    <w:rsid w:val="002D0831"/>
    <w:rsid w:val="00456F68"/>
    <w:rsid w:val="00B86288"/>
    <w:rsid w:val="00C74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A699A-603B-4EFA-A919-3BF3884D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01809">
      <w:bodyDiv w:val="1"/>
      <w:marLeft w:val="0"/>
      <w:marRight w:val="0"/>
      <w:marTop w:val="0"/>
      <w:marBottom w:val="0"/>
      <w:divBdr>
        <w:top w:val="none" w:sz="0" w:space="0" w:color="auto"/>
        <w:left w:val="none" w:sz="0" w:space="0" w:color="auto"/>
        <w:bottom w:val="none" w:sz="0" w:space="0" w:color="auto"/>
        <w:right w:val="none" w:sz="0" w:space="0" w:color="auto"/>
      </w:divBdr>
      <w:divsChild>
        <w:div w:id="1495102401">
          <w:marLeft w:val="0"/>
          <w:marRight w:val="0"/>
          <w:marTop w:val="0"/>
          <w:marBottom w:val="0"/>
          <w:divBdr>
            <w:top w:val="none" w:sz="0" w:space="0" w:color="auto"/>
            <w:left w:val="none" w:sz="0" w:space="0" w:color="auto"/>
            <w:bottom w:val="none" w:sz="0" w:space="0" w:color="auto"/>
            <w:right w:val="none" w:sz="0" w:space="0" w:color="auto"/>
          </w:divBdr>
          <w:divsChild>
            <w:div w:id="1215890536">
              <w:marLeft w:val="0"/>
              <w:marRight w:val="0"/>
              <w:marTop w:val="0"/>
              <w:marBottom w:val="0"/>
              <w:divBdr>
                <w:top w:val="none" w:sz="0" w:space="0" w:color="auto"/>
                <w:left w:val="none" w:sz="0" w:space="0" w:color="auto"/>
                <w:bottom w:val="none" w:sz="0" w:space="0" w:color="auto"/>
                <w:right w:val="none" w:sz="0" w:space="0" w:color="auto"/>
              </w:divBdr>
              <w:divsChild>
                <w:div w:id="579291588">
                  <w:marLeft w:val="0"/>
                  <w:marRight w:val="0"/>
                  <w:marTop w:val="0"/>
                  <w:marBottom w:val="0"/>
                  <w:divBdr>
                    <w:top w:val="none" w:sz="0" w:space="0" w:color="auto"/>
                    <w:left w:val="none" w:sz="0" w:space="0" w:color="auto"/>
                    <w:bottom w:val="none" w:sz="0" w:space="0" w:color="auto"/>
                    <w:right w:val="none" w:sz="0" w:space="0" w:color="auto"/>
                  </w:divBdr>
                </w:div>
                <w:div w:id="1905677967">
                  <w:marLeft w:val="0"/>
                  <w:marRight w:val="0"/>
                  <w:marTop w:val="0"/>
                  <w:marBottom w:val="0"/>
                  <w:divBdr>
                    <w:top w:val="none" w:sz="0" w:space="0" w:color="auto"/>
                    <w:left w:val="none" w:sz="0" w:space="0" w:color="auto"/>
                    <w:bottom w:val="none" w:sz="0" w:space="0" w:color="auto"/>
                    <w:right w:val="none" w:sz="0" w:space="0" w:color="auto"/>
                  </w:divBdr>
                  <w:divsChild>
                    <w:div w:id="20163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23119">
              <w:marLeft w:val="0"/>
              <w:marRight w:val="0"/>
              <w:marTop w:val="0"/>
              <w:marBottom w:val="0"/>
              <w:divBdr>
                <w:top w:val="none" w:sz="0" w:space="0" w:color="auto"/>
                <w:left w:val="none" w:sz="0" w:space="0" w:color="auto"/>
                <w:bottom w:val="none" w:sz="0" w:space="0" w:color="auto"/>
                <w:right w:val="none" w:sz="0" w:space="0" w:color="auto"/>
              </w:divBdr>
              <w:divsChild>
                <w:div w:id="617882016">
                  <w:marLeft w:val="0"/>
                  <w:marRight w:val="0"/>
                  <w:marTop w:val="0"/>
                  <w:marBottom w:val="0"/>
                  <w:divBdr>
                    <w:top w:val="none" w:sz="0" w:space="0" w:color="auto"/>
                    <w:left w:val="none" w:sz="0" w:space="0" w:color="auto"/>
                    <w:bottom w:val="none" w:sz="0" w:space="0" w:color="auto"/>
                    <w:right w:val="none" w:sz="0" w:space="0" w:color="auto"/>
                  </w:divBdr>
                </w:div>
                <w:div w:id="628363114">
                  <w:marLeft w:val="0"/>
                  <w:marRight w:val="0"/>
                  <w:marTop w:val="0"/>
                  <w:marBottom w:val="0"/>
                  <w:divBdr>
                    <w:top w:val="none" w:sz="0" w:space="0" w:color="auto"/>
                    <w:left w:val="none" w:sz="0" w:space="0" w:color="auto"/>
                    <w:bottom w:val="none" w:sz="0" w:space="0" w:color="auto"/>
                    <w:right w:val="none" w:sz="0" w:space="0" w:color="auto"/>
                  </w:divBdr>
                  <w:divsChild>
                    <w:div w:id="1628046033">
                      <w:marLeft w:val="0"/>
                      <w:marRight w:val="0"/>
                      <w:marTop w:val="0"/>
                      <w:marBottom w:val="0"/>
                      <w:divBdr>
                        <w:top w:val="none" w:sz="0" w:space="0" w:color="auto"/>
                        <w:left w:val="none" w:sz="0" w:space="0" w:color="auto"/>
                        <w:bottom w:val="none" w:sz="0" w:space="0" w:color="auto"/>
                        <w:right w:val="none" w:sz="0" w:space="0" w:color="auto"/>
                      </w:divBdr>
                      <w:divsChild>
                        <w:div w:id="834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837963">
              <w:marLeft w:val="0"/>
              <w:marRight w:val="0"/>
              <w:marTop w:val="0"/>
              <w:marBottom w:val="0"/>
              <w:divBdr>
                <w:top w:val="none" w:sz="0" w:space="0" w:color="auto"/>
                <w:left w:val="none" w:sz="0" w:space="0" w:color="auto"/>
                <w:bottom w:val="none" w:sz="0" w:space="0" w:color="auto"/>
                <w:right w:val="none" w:sz="0" w:space="0" w:color="auto"/>
              </w:divBdr>
              <w:divsChild>
                <w:div w:id="1032607661">
                  <w:marLeft w:val="0"/>
                  <w:marRight w:val="0"/>
                  <w:marTop w:val="0"/>
                  <w:marBottom w:val="0"/>
                  <w:divBdr>
                    <w:top w:val="none" w:sz="0" w:space="0" w:color="auto"/>
                    <w:left w:val="none" w:sz="0" w:space="0" w:color="auto"/>
                    <w:bottom w:val="none" w:sz="0" w:space="0" w:color="auto"/>
                    <w:right w:val="none" w:sz="0" w:space="0" w:color="auto"/>
                  </w:divBdr>
                </w:div>
                <w:div w:id="1277567985">
                  <w:marLeft w:val="0"/>
                  <w:marRight w:val="0"/>
                  <w:marTop w:val="0"/>
                  <w:marBottom w:val="0"/>
                  <w:divBdr>
                    <w:top w:val="none" w:sz="0" w:space="0" w:color="auto"/>
                    <w:left w:val="none" w:sz="0" w:space="0" w:color="auto"/>
                    <w:bottom w:val="none" w:sz="0" w:space="0" w:color="auto"/>
                    <w:right w:val="none" w:sz="0" w:space="0" w:color="auto"/>
                  </w:divBdr>
                  <w:divsChild>
                    <w:div w:id="10082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511">
              <w:marLeft w:val="0"/>
              <w:marRight w:val="0"/>
              <w:marTop w:val="0"/>
              <w:marBottom w:val="0"/>
              <w:divBdr>
                <w:top w:val="none" w:sz="0" w:space="0" w:color="auto"/>
                <w:left w:val="none" w:sz="0" w:space="0" w:color="auto"/>
                <w:bottom w:val="none" w:sz="0" w:space="0" w:color="auto"/>
                <w:right w:val="none" w:sz="0" w:space="0" w:color="auto"/>
              </w:divBdr>
              <w:divsChild>
                <w:div w:id="460805698">
                  <w:marLeft w:val="0"/>
                  <w:marRight w:val="0"/>
                  <w:marTop w:val="0"/>
                  <w:marBottom w:val="0"/>
                  <w:divBdr>
                    <w:top w:val="none" w:sz="0" w:space="0" w:color="auto"/>
                    <w:left w:val="none" w:sz="0" w:space="0" w:color="auto"/>
                    <w:bottom w:val="none" w:sz="0" w:space="0" w:color="auto"/>
                    <w:right w:val="none" w:sz="0" w:space="0" w:color="auto"/>
                  </w:divBdr>
                </w:div>
                <w:div w:id="256912155">
                  <w:marLeft w:val="0"/>
                  <w:marRight w:val="0"/>
                  <w:marTop w:val="0"/>
                  <w:marBottom w:val="0"/>
                  <w:divBdr>
                    <w:top w:val="none" w:sz="0" w:space="0" w:color="auto"/>
                    <w:left w:val="none" w:sz="0" w:space="0" w:color="auto"/>
                    <w:bottom w:val="none" w:sz="0" w:space="0" w:color="auto"/>
                    <w:right w:val="none" w:sz="0" w:space="0" w:color="auto"/>
                  </w:divBdr>
                  <w:divsChild>
                    <w:div w:id="40136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47665">
              <w:marLeft w:val="0"/>
              <w:marRight w:val="0"/>
              <w:marTop w:val="0"/>
              <w:marBottom w:val="0"/>
              <w:divBdr>
                <w:top w:val="none" w:sz="0" w:space="0" w:color="auto"/>
                <w:left w:val="none" w:sz="0" w:space="0" w:color="auto"/>
                <w:bottom w:val="none" w:sz="0" w:space="0" w:color="auto"/>
                <w:right w:val="none" w:sz="0" w:space="0" w:color="auto"/>
              </w:divBdr>
              <w:divsChild>
                <w:div w:id="1441341592">
                  <w:marLeft w:val="0"/>
                  <w:marRight w:val="0"/>
                  <w:marTop w:val="0"/>
                  <w:marBottom w:val="0"/>
                  <w:divBdr>
                    <w:top w:val="none" w:sz="0" w:space="0" w:color="auto"/>
                    <w:left w:val="none" w:sz="0" w:space="0" w:color="auto"/>
                    <w:bottom w:val="none" w:sz="0" w:space="0" w:color="auto"/>
                    <w:right w:val="none" w:sz="0" w:space="0" w:color="auto"/>
                  </w:divBdr>
                </w:div>
                <w:div w:id="1957521153">
                  <w:marLeft w:val="0"/>
                  <w:marRight w:val="0"/>
                  <w:marTop w:val="0"/>
                  <w:marBottom w:val="0"/>
                  <w:divBdr>
                    <w:top w:val="none" w:sz="0" w:space="0" w:color="auto"/>
                    <w:left w:val="none" w:sz="0" w:space="0" w:color="auto"/>
                    <w:bottom w:val="none" w:sz="0" w:space="0" w:color="auto"/>
                    <w:right w:val="none" w:sz="0" w:space="0" w:color="auto"/>
                  </w:divBdr>
                  <w:divsChild>
                    <w:div w:id="6969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0948">
              <w:marLeft w:val="0"/>
              <w:marRight w:val="0"/>
              <w:marTop w:val="0"/>
              <w:marBottom w:val="0"/>
              <w:divBdr>
                <w:top w:val="none" w:sz="0" w:space="0" w:color="auto"/>
                <w:left w:val="none" w:sz="0" w:space="0" w:color="auto"/>
                <w:bottom w:val="none" w:sz="0" w:space="0" w:color="auto"/>
                <w:right w:val="none" w:sz="0" w:space="0" w:color="auto"/>
              </w:divBdr>
              <w:divsChild>
                <w:div w:id="1113748684">
                  <w:marLeft w:val="0"/>
                  <w:marRight w:val="0"/>
                  <w:marTop w:val="0"/>
                  <w:marBottom w:val="0"/>
                  <w:divBdr>
                    <w:top w:val="none" w:sz="0" w:space="0" w:color="auto"/>
                    <w:left w:val="none" w:sz="0" w:space="0" w:color="auto"/>
                    <w:bottom w:val="none" w:sz="0" w:space="0" w:color="auto"/>
                    <w:right w:val="none" w:sz="0" w:space="0" w:color="auto"/>
                  </w:divBdr>
                </w:div>
                <w:div w:id="1586380134">
                  <w:marLeft w:val="0"/>
                  <w:marRight w:val="0"/>
                  <w:marTop w:val="0"/>
                  <w:marBottom w:val="0"/>
                  <w:divBdr>
                    <w:top w:val="none" w:sz="0" w:space="0" w:color="auto"/>
                    <w:left w:val="none" w:sz="0" w:space="0" w:color="auto"/>
                    <w:bottom w:val="none" w:sz="0" w:space="0" w:color="auto"/>
                    <w:right w:val="none" w:sz="0" w:space="0" w:color="auto"/>
                  </w:divBdr>
                  <w:divsChild>
                    <w:div w:id="16456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3249">
              <w:marLeft w:val="0"/>
              <w:marRight w:val="0"/>
              <w:marTop w:val="0"/>
              <w:marBottom w:val="0"/>
              <w:divBdr>
                <w:top w:val="none" w:sz="0" w:space="0" w:color="auto"/>
                <w:left w:val="none" w:sz="0" w:space="0" w:color="auto"/>
                <w:bottom w:val="none" w:sz="0" w:space="0" w:color="auto"/>
                <w:right w:val="none" w:sz="0" w:space="0" w:color="auto"/>
              </w:divBdr>
              <w:divsChild>
                <w:div w:id="1378430756">
                  <w:marLeft w:val="0"/>
                  <w:marRight w:val="0"/>
                  <w:marTop w:val="0"/>
                  <w:marBottom w:val="0"/>
                  <w:divBdr>
                    <w:top w:val="none" w:sz="0" w:space="0" w:color="auto"/>
                    <w:left w:val="none" w:sz="0" w:space="0" w:color="auto"/>
                    <w:bottom w:val="none" w:sz="0" w:space="0" w:color="auto"/>
                    <w:right w:val="none" w:sz="0" w:space="0" w:color="auto"/>
                  </w:divBdr>
                </w:div>
                <w:div w:id="203832824">
                  <w:marLeft w:val="0"/>
                  <w:marRight w:val="0"/>
                  <w:marTop w:val="0"/>
                  <w:marBottom w:val="0"/>
                  <w:divBdr>
                    <w:top w:val="none" w:sz="0" w:space="0" w:color="auto"/>
                    <w:left w:val="none" w:sz="0" w:space="0" w:color="auto"/>
                    <w:bottom w:val="none" w:sz="0" w:space="0" w:color="auto"/>
                    <w:right w:val="none" w:sz="0" w:space="0" w:color="auto"/>
                  </w:divBdr>
                  <w:divsChild>
                    <w:div w:id="135175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339867">
              <w:marLeft w:val="0"/>
              <w:marRight w:val="0"/>
              <w:marTop w:val="0"/>
              <w:marBottom w:val="0"/>
              <w:divBdr>
                <w:top w:val="none" w:sz="0" w:space="0" w:color="auto"/>
                <w:left w:val="none" w:sz="0" w:space="0" w:color="auto"/>
                <w:bottom w:val="none" w:sz="0" w:space="0" w:color="auto"/>
                <w:right w:val="none" w:sz="0" w:space="0" w:color="auto"/>
              </w:divBdr>
              <w:divsChild>
                <w:div w:id="943421088">
                  <w:marLeft w:val="0"/>
                  <w:marRight w:val="0"/>
                  <w:marTop w:val="0"/>
                  <w:marBottom w:val="0"/>
                  <w:divBdr>
                    <w:top w:val="none" w:sz="0" w:space="0" w:color="auto"/>
                    <w:left w:val="none" w:sz="0" w:space="0" w:color="auto"/>
                    <w:bottom w:val="none" w:sz="0" w:space="0" w:color="auto"/>
                    <w:right w:val="none" w:sz="0" w:space="0" w:color="auto"/>
                  </w:divBdr>
                </w:div>
                <w:div w:id="367073009">
                  <w:marLeft w:val="0"/>
                  <w:marRight w:val="0"/>
                  <w:marTop w:val="0"/>
                  <w:marBottom w:val="0"/>
                  <w:divBdr>
                    <w:top w:val="none" w:sz="0" w:space="0" w:color="auto"/>
                    <w:left w:val="none" w:sz="0" w:space="0" w:color="auto"/>
                    <w:bottom w:val="none" w:sz="0" w:space="0" w:color="auto"/>
                    <w:right w:val="none" w:sz="0" w:space="0" w:color="auto"/>
                  </w:divBdr>
                  <w:divsChild>
                    <w:div w:id="210379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4302">
              <w:marLeft w:val="0"/>
              <w:marRight w:val="0"/>
              <w:marTop w:val="0"/>
              <w:marBottom w:val="0"/>
              <w:divBdr>
                <w:top w:val="none" w:sz="0" w:space="0" w:color="auto"/>
                <w:left w:val="none" w:sz="0" w:space="0" w:color="auto"/>
                <w:bottom w:val="none" w:sz="0" w:space="0" w:color="auto"/>
                <w:right w:val="none" w:sz="0" w:space="0" w:color="auto"/>
              </w:divBdr>
              <w:divsChild>
                <w:div w:id="1109197455">
                  <w:marLeft w:val="0"/>
                  <w:marRight w:val="0"/>
                  <w:marTop w:val="0"/>
                  <w:marBottom w:val="0"/>
                  <w:divBdr>
                    <w:top w:val="none" w:sz="0" w:space="0" w:color="auto"/>
                    <w:left w:val="none" w:sz="0" w:space="0" w:color="auto"/>
                    <w:bottom w:val="none" w:sz="0" w:space="0" w:color="auto"/>
                    <w:right w:val="none" w:sz="0" w:space="0" w:color="auto"/>
                  </w:divBdr>
                </w:div>
                <w:div w:id="1387685611">
                  <w:marLeft w:val="0"/>
                  <w:marRight w:val="0"/>
                  <w:marTop w:val="0"/>
                  <w:marBottom w:val="0"/>
                  <w:divBdr>
                    <w:top w:val="none" w:sz="0" w:space="0" w:color="auto"/>
                    <w:left w:val="none" w:sz="0" w:space="0" w:color="auto"/>
                    <w:bottom w:val="none" w:sz="0" w:space="0" w:color="auto"/>
                    <w:right w:val="none" w:sz="0" w:space="0" w:color="auto"/>
                  </w:divBdr>
                  <w:divsChild>
                    <w:div w:id="13606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9013">
              <w:marLeft w:val="0"/>
              <w:marRight w:val="0"/>
              <w:marTop w:val="0"/>
              <w:marBottom w:val="0"/>
              <w:divBdr>
                <w:top w:val="none" w:sz="0" w:space="0" w:color="auto"/>
                <w:left w:val="none" w:sz="0" w:space="0" w:color="auto"/>
                <w:bottom w:val="none" w:sz="0" w:space="0" w:color="auto"/>
                <w:right w:val="none" w:sz="0" w:space="0" w:color="auto"/>
              </w:divBdr>
              <w:divsChild>
                <w:div w:id="1633437441">
                  <w:marLeft w:val="0"/>
                  <w:marRight w:val="0"/>
                  <w:marTop w:val="0"/>
                  <w:marBottom w:val="0"/>
                  <w:divBdr>
                    <w:top w:val="none" w:sz="0" w:space="0" w:color="auto"/>
                    <w:left w:val="none" w:sz="0" w:space="0" w:color="auto"/>
                    <w:bottom w:val="none" w:sz="0" w:space="0" w:color="auto"/>
                    <w:right w:val="none" w:sz="0" w:space="0" w:color="auto"/>
                  </w:divBdr>
                </w:div>
                <w:div w:id="229538556">
                  <w:marLeft w:val="0"/>
                  <w:marRight w:val="0"/>
                  <w:marTop w:val="0"/>
                  <w:marBottom w:val="0"/>
                  <w:divBdr>
                    <w:top w:val="none" w:sz="0" w:space="0" w:color="auto"/>
                    <w:left w:val="none" w:sz="0" w:space="0" w:color="auto"/>
                    <w:bottom w:val="none" w:sz="0" w:space="0" w:color="auto"/>
                    <w:right w:val="none" w:sz="0" w:space="0" w:color="auto"/>
                  </w:divBdr>
                  <w:divsChild>
                    <w:div w:id="194041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6399">
              <w:marLeft w:val="0"/>
              <w:marRight w:val="0"/>
              <w:marTop w:val="0"/>
              <w:marBottom w:val="0"/>
              <w:divBdr>
                <w:top w:val="none" w:sz="0" w:space="0" w:color="auto"/>
                <w:left w:val="none" w:sz="0" w:space="0" w:color="auto"/>
                <w:bottom w:val="none" w:sz="0" w:space="0" w:color="auto"/>
                <w:right w:val="none" w:sz="0" w:space="0" w:color="auto"/>
              </w:divBdr>
              <w:divsChild>
                <w:div w:id="386031509">
                  <w:marLeft w:val="0"/>
                  <w:marRight w:val="0"/>
                  <w:marTop w:val="0"/>
                  <w:marBottom w:val="0"/>
                  <w:divBdr>
                    <w:top w:val="none" w:sz="0" w:space="0" w:color="auto"/>
                    <w:left w:val="none" w:sz="0" w:space="0" w:color="auto"/>
                    <w:bottom w:val="none" w:sz="0" w:space="0" w:color="auto"/>
                    <w:right w:val="none" w:sz="0" w:space="0" w:color="auto"/>
                  </w:divBdr>
                </w:div>
                <w:div w:id="1307972527">
                  <w:marLeft w:val="0"/>
                  <w:marRight w:val="0"/>
                  <w:marTop w:val="0"/>
                  <w:marBottom w:val="0"/>
                  <w:divBdr>
                    <w:top w:val="none" w:sz="0" w:space="0" w:color="auto"/>
                    <w:left w:val="none" w:sz="0" w:space="0" w:color="auto"/>
                    <w:bottom w:val="none" w:sz="0" w:space="0" w:color="auto"/>
                    <w:right w:val="none" w:sz="0" w:space="0" w:color="auto"/>
                  </w:divBdr>
                  <w:divsChild>
                    <w:div w:id="71881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3856">
              <w:marLeft w:val="0"/>
              <w:marRight w:val="0"/>
              <w:marTop w:val="0"/>
              <w:marBottom w:val="0"/>
              <w:divBdr>
                <w:top w:val="none" w:sz="0" w:space="0" w:color="auto"/>
                <w:left w:val="none" w:sz="0" w:space="0" w:color="auto"/>
                <w:bottom w:val="none" w:sz="0" w:space="0" w:color="auto"/>
                <w:right w:val="none" w:sz="0" w:space="0" w:color="auto"/>
              </w:divBdr>
              <w:divsChild>
                <w:div w:id="1767068514">
                  <w:marLeft w:val="0"/>
                  <w:marRight w:val="0"/>
                  <w:marTop w:val="0"/>
                  <w:marBottom w:val="0"/>
                  <w:divBdr>
                    <w:top w:val="none" w:sz="0" w:space="0" w:color="auto"/>
                    <w:left w:val="none" w:sz="0" w:space="0" w:color="auto"/>
                    <w:bottom w:val="none" w:sz="0" w:space="0" w:color="auto"/>
                    <w:right w:val="none" w:sz="0" w:space="0" w:color="auto"/>
                  </w:divBdr>
                </w:div>
                <w:div w:id="1698582712">
                  <w:marLeft w:val="0"/>
                  <w:marRight w:val="0"/>
                  <w:marTop w:val="0"/>
                  <w:marBottom w:val="0"/>
                  <w:divBdr>
                    <w:top w:val="none" w:sz="0" w:space="0" w:color="auto"/>
                    <w:left w:val="none" w:sz="0" w:space="0" w:color="auto"/>
                    <w:bottom w:val="none" w:sz="0" w:space="0" w:color="auto"/>
                    <w:right w:val="none" w:sz="0" w:space="0" w:color="auto"/>
                  </w:divBdr>
                  <w:divsChild>
                    <w:div w:id="10857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0829">
              <w:marLeft w:val="0"/>
              <w:marRight w:val="0"/>
              <w:marTop w:val="0"/>
              <w:marBottom w:val="0"/>
              <w:divBdr>
                <w:top w:val="none" w:sz="0" w:space="0" w:color="auto"/>
                <w:left w:val="none" w:sz="0" w:space="0" w:color="auto"/>
                <w:bottom w:val="none" w:sz="0" w:space="0" w:color="auto"/>
                <w:right w:val="none" w:sz="0" w:space="0" w:color="auto"/>
              </w:divBdr>
              <w:divsChild>
                <w:div w:id="13728605">
                  <w:marLeft w:val="0"/>
                  <w:marRight w:val="0"/>
                  <w:marTop w:val="0"/>
                  <w:marBottom w:val="0"/>
                  <w:divBdr>
                    <w:top w:val="none" w:sz="0" w:space="0" w:color="auto"/>
                    <w:left w:val="none" w:sz="0" w:space="0" w:color="auto"/>
                    <w:bottom w:val="none" w:sz="0" w:space="0" w:color="auto"/>
                    <w:right w:val="none" w:sz="0" w:space="0" w:color="auto"/>
                  </w:divBdr>
                </w:div>
                <w:div w:id="706836392">
                  <w:marLeft w:val="0"/>
                  <w:marRight w:val="0"/>
                  <w:marTop w:val="0"/>
                  <w:marBottom w:val="0"/>
                  <w:divBdr>
                    <w:top w:val="none" w:sz="0" w:space="0" w:color="auto"/>
                    <w:left w:val="none" w:sz="0" w:space="0" w:color="auto"/>
                    <w:bottom w:val="none" w:sz="0" w:space="0" w:color="auto"/>
                    <w:right w:val="none" w:sz="0" w:space="0" w:color="auto"/>
                  </w:divBdr>
                  <w:divsChild>
                    <w:div w:id="107704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027379">
              <w:marLeft w:val="0"/>
              <w:marRight w:val="0"/>
              <w:marTop w:val="0"/>
              <w:marBottom w:val="0"/>
              <w:divBdr>
                <w:top w:val="none" w:sz="0" w:space="0" w:color="auto"/>
                <w:left w:val="none" w:sz="0" w:space="0" w:color="auto"/>
                <w:bottom w:val="none" w:sz="0" w:space="0" w:color="auto"/>
                <w:right w:val="none" w:sz="0" w:space="0" w:color="auto"/>
              </w:divBdr>
              <w:divsChild>
                <w:div w:id="491721547">
                  <w:marLeft w:val="0"/>
                  <w:marRight w:val="0"/>
                  <w:marTop w:val="0"/>
                  <w:marBottom w:val="0"/>
                  <w:divBdr>
                    <w:top w:val="none" w:sz="0" w:space="0" w:color="auto"/>
                    <w:left w:val="none" w:sz="0" w:space="0" w:color="auto"/>
                    <w:bottom w:val="none" w:sz="0" w:space="0" w:color="auto"/>
                    <w:right w:val="none" w:sz="0" w:space="0" w:color="auto"/>
                  </w:divBdr>
                </w:div>
                <w:div w:id="793183075">
                  <w:marLeft w:val="0"/>
                  <w:marRight w:val="0"/>
                  <w:marTop w:val="0"/>
                  <w:marBottom w:val="0"/>
                  <w:divBdr>
                    <w:top w:val="none" w:sz="0" w:space="0" w:color="auto"/>
                    <w:left w:val="none" w:sz="0" w:space="0" w:color="auto"/>
                    <w:bottom w:val="none" w:sz="0" w:space="0" w:color="auto"/>
                    <w:right w:val="none" w:sz="0" w:space="0" w:color="auto"/>
                  </w:divBdr>
                  <w:divsChild>
                    <w:div w:id="6617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88109">
              <w:marLeft w:val="0"/>
              <w:marRight w:val="0"/>
              <w:marTop w:val="0"/>
              <w:marBottom w:val="0"/>
              <w:divBdr>
                <w:top w:val="none" w:sz="0" w:space="0" w:color="auto"/>
                <w:left w:val="none" w:sz="0" w:space="0" w:color="auto"/>
                <w:bottom w:val="none" w:sz="0" w:space="0" w:color="auto"/>
                <w:right w:val="none" w:sz="0" w:space="0" w:color="auto"/>
              </w:divBdr>
              <w:divsChild>
                <w:div w:id="1218202003">
                  <w:marLeft w:val="0"/>
                  <w:marRight w:val="0"/>
                  <w:marTop w:val="0"/>
                  <w:marBottom w:val="0"/>
                  <w:divBdr>
                    <w:top w:val="none" w:sz="0" w:space="0" w:color="auto"/>
                    <w:left w:val="none" w:sz="0" w:space="0" w:color="auto"/>
                    <w:bottom w:val="none" w:sz="0" w:space="0" w:color="auto"/>
                    <w:right w:val="none" w:sz="0" w:space="0" w:color="auto"/>
                  </w:divBdr>
                </w:div>
                <w:div w:id="845830680">
                  <w:marLeft w:val="0"/>
                  <w:marRight w:val="0"/>
                  <w:marTop w:val="0"/>
                  <w:marBottom w:val="0"/>
                  <w:divBdr>
                    <w:top w:val="none" w:sz="0" w:space="0" w:color="auto"/>
                    <w:left w:val="none" w:sz="0" w:space="0" w:color="auto"/>
                    <w:bottom w:val="none" w:sz="0" w:space="0" w:color="auto"/>
                    <w:right w:val="none" w:sz="0" w:space="0" w:color="auto"/>
                  </w:divBdr>
                  <w:divsChild>
                    <w:div w:id="1467897339">
                      <w:marLeft w:val="0"/>
                      <w:marRight w:val="0"/>
                      <w:marTop w:val="0"/>
                      <w:marBottom w:val="0"/>
                      <w:divBdr>
                        <w:top w:val="none" w:sz="0" w:space="0" w:color="auto"/>
                        <w:left w:val="none" w:sz="0" w:space="0" w:color="auto"/>
                        <w:bottom w:val="none" w:sz="0" w:space="0" w:color="auto"/>
                        <w:right w:val="none" w:sz="0" w:space="0" w:color="auto"/>
                      </w:divBdr>
                      <w:divsChild>
                        <w:div w:id="363292566">
                          <w:marLeft w:val="0"/>
                          <w:marRight w:val="0"/>
                          <w:marTop w:val="0"/>
                          <w:marBottom w:val="0"/>
                          <w:divBdr>
                            <w:top w:val="none" w:sz="0" w:space="0" w:color="auto"/>
                            <w:left w:val="none" w:sz="0" w:space="0" w:color="auto"/>
                            <w:bottom w:val="none" w:sz="0" w:space="0" w:color="auto"/>
                            <w:right w:val="none" w:sz="0" w:space="0" w:color="auto"/>
                          </w:divBdr>
                        </w:div>
                        <w:div w:id="764958636">
                          <w:marLeft w:val="0"/>
                          <w:marRight w:val="0"/>
                          <w:marTop w:val="0"/>
                          <w:marBottom w:val="0"/>
                          <w:divBdr>
                            <w:top w:val="none" w:sz="0" w:space="0" w:color="auto"/>
                            <w:left w:val="none" w:sz="0" w:space="0" w:color="auto"/>
                            <w:bottom w:val="none" w:sz="0" w:space="0" w:color="auto"/>
                            <w:right w:val="none" w:sz="0" w:space="0" w:color="auto"/>
                          </w:divBdr>
                        </w:div>
                        <w:div w:id="218594158">
                          <w:marLeft w:val="0"/>
                          <w:marRight w:val="0"/>
                          <w:marTop w:val="0"/>
                          <w:marBottom w:val="0"/>
                          <w:divBdr>
                            <w:top w:val="none" w:sz="0" w:space="0" w:color="auto"/>
                            <w:left w:val="none" w:sz="0" w:space="0" w:color="auto"/>
                            <w:bottom w:val="none" w:sz="0" w:space="0" w:color="auto"/>
                            <w:right w:val="none" w:sz="0" w:space="0" w:color="auto"/>
                          </w:divBdr>
                        </w:div>
                        <w:div w:id="489954224">
                          <w:marLeft w:val="0"/>
                          <w:marRight w:val="0"/>
                          <w:marTop w:val="0"/>
                          <w:marBottom w:val="0"/>
                          <w:divBdr>
                            <w:top w:val="none" w:sz="0" w:space="0" w:color="auto"/>
                            <w:left w:val="none" w:sz="0" w:space="0" w:color="auto"/>
                            <w:bottom w:val="none" w:sz="0" w:space="0" w:color="auto"/>
                            <w:right w:val="none" w:sz="0" w:space="0" w:color="auto"/>
                          </w:divBdr>
                        </w:div>
                        <w:div w:id="1100636312">
                          <w:marLeft w:val="0"/>
                          <w:marRight w:val="0"/>
                          <w:marTop w:val="0"/>
                          <w:marBottom w:val="0"/>
                          <w:divBdr>
                            <w:top w:val="none" w:sz="0" w:space="0" w:color="auto"/>
                            <w:left w:val="none" w:sz="0" w:space="0" w:color="auto"/>
                            <w:bottom w:val="none" w:sz="0" w:space="0" w:color="auto"/>
                            <w:right w:val="none" w:sz="0" w:space="0" w:color="auto"/>
                          </w:divBdr>
                        </w:div>
                        <w:div w:id="1542547654">
                          <w:marLeft w:val="0"/>
                          <w:marRight w:val="0"/>
                          <w:marTop w:val="0"/>
                          <w:marBottom w:val="0"/>
                          <w:divBdr>
                            <w:top w:val="none" w:sz="0" w:space="0" w:color="auto"/>
                            <w:left w:val="none" w:sz="0" w:space="0" w:color="auto"/>
                            <w:bottom w:val="none" w:sz="0" w:space="0" w:color="auto"/>
                            <w:right w:val="none" w:sz="0" w:space="0" w:color="auto"/>
                          </w:divBdr>
                        </w:div>
                        <w:div w:id="1756197743">
                          <w:marLeft w:val="0"/>
                          <w:marRight w:val="0"/>
                          <w:marTop w:val="0"/>
                          <w:marBottom w:val="0"/>
                          <w:divBdr>
                            <w:top w:val="none" w:sz="0" w:space="0" w:color="auto"/>
                            <w:left w:val="none" w:sz="0" w:space="0" w:color="auto"/>
                            <w:bottom w:val="none" w:sz="0" w:space="0" w:color="auto"/>
                            <w:right w:val="none" w:sz="0" w:space="0" w:color="auto"/>
                          </w:divBdr>
                        </w:div>
                        <w:div w:id="583488033">
                          <w:marLeft w:val="0"/>
                          <w:marRight w:val="0"/>
                          <w:marTop w:val="0"/>
                          <w:marBottom w:val="0"/>
                          <w:divBdr>
                            <w:top w:val="none" w:sz="0" w:space="0" w:color="auto"/>
                            <w:left w:val="none" w:sz="0" w:space="0" w:color="auto"/>
                            <w:bottom w:val="none" w:sz="0" w:space="0" w:color="auto"/>
                            <w:right w:val="none" w:sz="0" w:space="0" w:color="auto"/>
                          </w:divBdr>
                        </w:div>
                        <w:div w:id="12501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8060">
              <w:marLeft w:val="0"/>
              <w:marRight w:val="0"/>
              <w:marTop w:val="0"/>
              <w:marBottom w:val="0"/>
              <w:divBdr>
                <w:top w:val="none" w:sz="0" w:space="0" w:color="auto"/>
                <w:left w:val="none" w:sz="0" w:space="0" w:color="auto"/>
                <w:bottom w:val="none" w:sz="0" w:space="0" w:color="auto"/>
                <w:right w:val="none" w:sz="0" w:space="0" w:color="auto"/>
              </w:divBdr>
              <w:divsChild>
                <w:div w:id="881402096">
                  <w:marLeft w:val="0"/>
                  <w:marRight w:val="0"/>
                  <w:marTop w:val="0"/>
                  <w:marBottom w:val="0"/>
                  <w:divBdr>
                    <w:top w:val="none" w:sz="0" w:space="0" w:color="auto"/>
                    <w:left w:val="none" w:sz="0" w:space="0" w:color="auto"/>
                    <w:bottom w:val="none" w:sz="0" w:space="0" w:color="auto"/>
                    <w:right w:val="none" w:sz="0" w:space="0" w:color="auto"/>
                  </w:divBdr>
                </w:div>
                <w:div w:id="776683467">
                  <w:marLeft w:val="0"/>
                  <w:marRight w:val="0"/>
                  <w:marTop w:val="0"/>
                  <w:marBottom w:val="0"/>
                  <w:divBdr>
                    <w:top w:val="none" w:sz="0" w:space="0" w:color="auto"/>
                    <w:left w:val="none" w:sz="0" w:space="0" w:color="auto"/>
                    <w:bottom w:val="none" w:sz="0" w:space="0" w:color="auto"/>
                    <w:right w:val="none" w:sz="0" w:space="0" w:color="auto"/>
                  </w:divBdr>
                  <w:divsChild>
                    <w:div w:id="18650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27677">
              <w:marLeft w:val="0"/>
              <w:marRight w:val="0"/>
              <w:marTop w:val="0"/>
              <w:marBottom w:val="0"/>
              <w:divBdr>
                <w:top w:val="none" w:sz="0" w:space="0" w:color="auto"/>
                <w:left w:val="none" w:sz="0" w:space="0" w:color="auto"/>
                <w:bottom w:val="none" w:sz="0" w:space="0" w:color="auto"/>
                <w:right w:val="none" w:sz="0" w:space="0" w:color="auto"/>
              </w:divBdr>
              <w:divsChild>
                <w:div w:id="1903443484">
                  <w:marLeft w:val="0"/>
                  <w:marRight w:val="0"/>
                  <w:marTop w:val="0"/>
                  <w:marBottom w:val="0"/>
                  <w:divBdr>
                    <w:top w:val="none" w:sz="0" w:space="0" w:color="auto"/>
                    <w:left w:val="none" w:sz="0" w:space="0" w:color="auto"/>
                    <w:bottom w:val="none" w:sz="0" w:space="0" w:color="auto"/>
                    <w:right w:val="none" w:sz="0" w:space="0" w:color="auto"/>
                  </w:divBdr>
                </w:div>
                <w:div w:id="1968588747">
                  <w:marLeft w:val="0"/>
                  <w:marRight w:val="0"/>
                  <w:marTop w:val="0"/>
                  <w:marBottom w:val="0"/>
                  <w:divBdr>
                    <w:top w:val="none" w:sz="0" w:space="0" w:color="auto"/>
                    <w:left w:val="none" w:sz="0" w:space="0" w:color="auto"/>
                    <w:bottom w:val="none" w:sz="0" w:space="0" w:color="auto"/>
                    <w:right w:val="none" w:sz="0" w:space="0" w:color="auto"/>
                  </w:divBdr>
                  <w:divsChild>
                    <w:div w:id="9014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pu.edu/Entrant/SelectionCommittee.aspx" TargetMode="External"/><Relationship Id="rId13" Type="http://schemas.openxmlformats.org/officeDocument/2006/relationships/hyperlink" Target="https://bo.naqa.gov.ua/api/File/10921/Get" TargetMode="External"/><Relationship Id="rId18" Type="http://schemas.openxmlformats.org/officeDocument/2006/relationships/hyperlink" Target="https://bo.naqa.gov.ua/api/File/10916/Get"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o.naqa.gov.ua/api/File/7601/Get" TargetMode="External"/><Relationship Id="rId12" Type="http://schemas.openxmlformats.org/officeDocument/2006/relationships/hyperlink" Target="https://bo.naqa.gov.ua/api/File/10924/Get" TargetMode="External"/><Relationship Id="rId17" Type="http://schemas.openxmlformats.org/officeDocument/2006/relationships/hyperlink" Target="https://bo.naqa.gov.ua/api/File/10917/Get" TargetMode="External"/><Relationship Id="rId2" Type="http://schemas.openxmlformats.org/officeDocument/2006/relationships/settings" Target="settings.xml"/><Relationship Id="rId16" Type="http://schemas.openxmlformats.org/officeDocument/2006/relationships/hyperlink" Target="https://bo.naqa.gov.ua/api/File/10918/Ge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o.naqa.gov.ua/api/File/8739/Get" TargetMode="External"/><Relationship Id="rId11" Type="http://schemas.openxmlformats.org/officeDocument/2006/relationships/hyperlink" Target="https://bo.naqa.gov.ua/api/File/10928/Get" TargetMode="External"/><Relationship Id="rId5" Type="http://schemas.openxmlformats.org/officeDocument/2006/relationships/hyperlink" Target="https://bo.naqa.gov.ua/api/File/7599/Get" TargetMode="External"/><Relationship Id="rId15" Type="http://schemas.openxmlformats.org/officeDocument/2006/relationships/hyperlink" Target="https://bo.naqa.gov.ua/api/File/10919/Get" TargetMode="External"/><Relationship Id="rId10" Type="http://schemas.openxmlformats.org/officeDocument/2006/relationships/hyperlink" Target="http://www.kspu.edu/About/Faculty/Faculty_of_biolog_geograf_ecol/ChairBotany/Osvitno_prof_progr_BOTANY.aspx" TargetMode="External"/><Relationship Id="rId19" Type="http://schemas.openxmlformats.org/officeDocument/2006/relationships/hyperlink" Target="https://bo.naqa.gov.ua/api/File/10914/Get" TargetMode="External"/><Relationship Id="rId4" Type="http://schemas.openxmlformats.org/officeDocument/2006/relationships/hyperlink" Target="https://bo.naqa.gov.ua/api/File/8738/Get" TargetMode="External"/><Relationship Id="rId9" Type="http://schemas.openxmlformats.org/officeDocument/2006/relationships/hyperlink" Target="http://www.kspu.edu/" TargetMode="External"/><Relationship Id="rId14" Type="http://schemas.openxmlformats.org/officeDocument/2006/relationships/hyperlink" Target="https://bo.naqa.gov.ua/api/File/10920/G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18999</Words>
  <Characters>108299</Characters>
  <Application>Microsoft Office Word</Application>
  <DocSecurity>0</DocSecurity>
  <Lines>902</Lines>
  <Paragraphs>254</Paragraphs>
  <ScaleCrop>false</ScaleCrop>
  <Company>HOME</Company>
  <LinksUpToDate>false</LinksUpToDate>
  <CharactersWithSpaces>127044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2019-11-13T22:47:00Z</dcterms:created>
  <dcterms:modified xsi:type="dcterms:W3CDTF">2019-11-13T22:48:00Z</dcterms:modified>
</cp:coreProperties>
</file>